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附件：中国美术学院2</w:t>
      </w:r>
      <w:r>
        <w:rPr>
          <w:rFonts w:ascii="仿宋" w:hAnsi="仿宋" w:eastAsia="仿宋" w:cs="仿宋"/>
          <w:color w:val="000000"/>
          <w:kern w:val="0"/>
          <w:sz w:val="28"/>
          <w:szCs w:val="28"/>
        </w:rPr>
        <w:t>020</w:t>
      </w:r>
      <w:r>
        <w:rPr>
          <w:rFonts w:hint="eastAsia" w:ascii="仿宋" w:hAnsi="仿宋" w:eastAsia="仿宋" w:cs="仿宋"/>
          <w:color w:val="000000"/>
          <w:kern w:val="0"/>
          <w:sz w:val="28"/>
          <w:szCs w:val="28"/>
        </w:rPr>
        <w:t>年招收博士后研究方向简介</w:t>
      </w:r>
    </w:p>
    <w:p>
      <w:pPr>
        <w:rPr>
          <w:rFonts w:ascii="仿宋" w:hAnsi="仿宋" w:eastAsia="仿宋" w:cs="仿宋"/>
          <w:color w:val="000000"/>
          <w:kern w:val="0"/>
          <w:sz w:val="24"/>
          <w:szCs w:val="24"/>
        </w:rPr>
      </w:pPr>
      <w:bookmarkStart w:id="0" w:name="_GoBack"/>
      <w:bookmarkEnd w:id="0"/>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一、汉字文化研究（合作导师：曹锦炎、沈浩）</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中国美术学院汉字文化研究所”围绕“古文字”和“金石学”两大核心开展教学和科研工作。在视觉艺术东方学总体学术研究布局之内，设置“汉字文化”研究方向，并招收以博士后研究人员为基础的科研力量。</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招收博士后研究方向立足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二、中国山水文化研究（合作导师：萧驰）</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以欣赏的态度观看大自然，且在再现中令其因人而彰，人类持续发展出价值、观念、意象和话语，而形成审美景观传统。中国山水文化在世界景观传统中开启最早，渊远流长，以致美术、诗文、题画、园林、盆景、各类文艺与思想论著之中皆见山水表述，且各领域间互文现象广泛存在。鉴于此，设“中国山水文化研究”博士后这一崭新研究方向，以吸纳艺术、文学、园林、美学、思想史、比较文学或艺术、考古等各领域内具博士学位的优秀青年学者，参与我院的山水文化研究工程建设。</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三、中国古典艺术理论研究（合作导师：张文江、连冕）</w:t>
      </w:r>
    </w:p>
    <w:p>
      <w:pPr>
        <w:spacing w:line="440" w:lineRule="exact"/>
        <w:ind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四、艺术智性研究（合作导师：曹意强、王霖）</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博士后研究方向旨在重新思考艺术与思想、艺术与科学，以及艺术与教育的关系。如果对应于自然，凡人类创物之能与所创之物不妨统称为“艺术”，无论是古希腊的“艺术”概念还是中国古典学中“艺”的概念皆如此；“圣人因智以造艺，因艺以立事”一语就高度概括了这一点。然而，自18世纪以来，“艺术”的概念发生了根本性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远的审美品质潜活于人类历史的创造之中，值得加以揭示与研究，这对我们所处的创意时代尤为重要。</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届博士后的具体研究内容是中西重要艺术概念的演变及其对哲学（美学）和文论的影响或互动关系。申请入站者必须熟练掌握一门外语，并需呈交其研究计划，含研究提要（约一千字）与主要参考文献。入站者需在研究结束前呈交5-8万字论文，经答辨通过方能出站。</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五、</w:t>
      </w:r>
      <w:r>
        <w:rPr>
          <w:rFonts w:ascii="楷体" w:hAnsi="楷体" w:eastAsia="楷体" w:cs="楷体"/>
          <w:b/>
          <w:bCs/>
          <w:sz w:val="28"/>
          <w:szCs w:val="36"/>
        </w:rPr>
        <w:t>艺术哲学与当代艺术研究</w:t>
      </w:r>
      <w:r>
        <w:rPr>
          <w:rFonts w:hint="eastAsia" w:ascii="楷体" w:hAnsi="楷体" w:eastAsia="楷体" w:cs="楷体"/>
          <w:b/>
          <w:bCs/>
          <w:sz w:val="28"/>
          <w:szCs w:val="36"/>
        </w:rPr>
        <w:t>（合作导师：孙周兴、陈嘉映、李凯生）</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六、中国现代教育思想史研究（合作导师：高世名）</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p>
      <w:pPr>
        <w:spacing w:line="44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七、网络社会与数字人文研究（合作导师：陈嘉映、黄孙权）</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未来已来，只是分配不均。数字社会从新的技術世界图景涌现，社会文化与地缘政治相互的作用因为信息技术发展与信息传播方式而改变了。社会的与技术的网络不单是两者关系的随意组和：既有的社會织理影响新信息技术的发展，技术传播速度又决定了社会能否被重编。开关/上链等机械电子用词成为社会如何是”新的”关键。70年代新国际分工中脱勾（off hook）的发展中国家，是千禧年前无网脫節（switch off）的国家，是2020年脱链（off chain）的国家。西欧工业化以降的社会学认识论受到挑战，古典意义上的真善美，现代意义的公平、权利、文化、共同生活都面临如何摆脱旧时空的限制而还能有所意义的难题。如果亚里斯多德能用podcast,他会怎么谈数字社会的”好生活”与”幸福“？我们邀请来自哲学、社会学、建筑学与空间理论、媒体与文化研究等不同领域的青年学者们，共同探索此一攸关的命题。</w:t>
      </w:r>
    </w:p>
    <w:p>
      <w:pPr>
        <w:spacing w:line="44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八、艺术哲学与当代艺术研究（合作导师：孙周兴、李凯生）</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spacing w:line="440" w:lineRule="exact"/>
        <w:ind w:firstLine="560" w:firstLineChars="200"/>
        <w:rPr>
          <w:rFonts w:hint="eastAsia" w:ascii="仿宋" w:hAnsi="仿宋" w:eastAsia="仿宋" w:cs="仿宋"/>
          <w:color w:val="000000"/>
          <w:sz w:val="28"/>
          <w:szCs w:val="28"/>
        </w:rPr>
      </w:pPr>
    </w:p>
    <w:p>
      <w:pPr>
        <w:spacing w:line="440" w:lineRule="exact"/>
        <w:ind w:firstLine="560" w:firstLineChars="200"/>
        <w:rPr>
          <w:rFonts w:ascii="仿宋" w:hAnsi="仿宋" w:eastAsia="仿宋" w:cs="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5371"/>
    <w:rsid w:val="0002605E"/>
    <w:rsid w:val="00027818"/>
    <w:rsid w:val="00070B8B"/>
    <w:rsid w:val="000B79AC"/>
    <w:rsid w:val="00126710"/>
    <w:rsid w:val="00156808"/>
    <w:rsid w:val="00164D71"/>
    <w:rsid w:val="00190D64"/>
    <w:rsid w:val="001C2CA2"/>
    <w:rsid w:val="001C3C0C"/>
    <w:rsid w:val="001D6283"/>
    <w:rsid w:val="002053F1"/>
    <w:rsid w:val="002644B4"/>
    <w:rsid w:val="002801D7"/>
    <w:rsid w:val="002D7302"/>
    <w:rsid w:val="003075F6"/>
    <w:rsid w:val="00347EB5"/>
    <w:rsid w:val="003561B9"/>
    <w:rsid w:val="00397DE7"/>
    <w:rsid w:val="003F37D9"/>
    <w:rsid w:val="00464F5D"/>
    <w:rsid w:val="0047463D"/>
    <w:rsid w:val="00492189"/>
    <w:rsid w:val="004D7301"/>
    <w:rsid w:val="004F2C4A"/>
    <w:rsid w:val="005855A9"/>
    <w:rsid w:val="00586FC1"/>
    <w:rsid w:val="005A098A"/>
    <w:rsid w:val="005A60D1"/>
    <w:rsid w:val="005D0636"/>
    <w:rsid w:val="005F0014"/>
    <w:rsid w:val="00626F5C"/>
    <w:rsid w:val="00664ADC"/>
    <w:rsid w:val="006D7052"/>
    <w:rsid w:val="00700BA6"/>
    <w:rsid w:val="00754662"/>
    <w:rsid w:val="007A5371"/>
    <w:rsid w:val="007F346A"/>
    <w:rsid w:val="00821088"/>
    <w:rsid w:val="00841064"/>
    <w:rsid w:val="00875830"/>
    <w:rsid w:val="00882DA3"/>
    <w:rsid w:val="00885C7C"/>
    <w:rsid w:val="008E1054"/>
    <w:rsid w:val="00930D89"/>
    <w:rsid w:val="00940609"/>
    <w:rsid w:val="00940CEE"/>
    <w:rsid w:val="00947C89"/>
    <w:rsid w:val="009624D8"/>
    <w:rsid w:val="00994E7B"/>
    <w:rsid w:val="009E3444"/>
    <w:rsid w:val="00A10459"/>
    <w:rsid w:val="00A32421"/>
    <w:rsid w:val="00A35B12"/>
    <w:rsid w:val="00A4686F"/>
    <w:rsid w:val="00A97E7F"/>
    <w:rsid w:val="00AD3EF0"/>
    <w:rsid w:val="00AD7F5E"/>
    <w:rsid w:val="00AF221F"/>
    <w:rsid w:val="00BB3CE8"/>
    <w:rsid w:val="00BD0E53"/>
    <w:rsid w:val="00C007FA"/>
    <w:rsid w:val="00C3626C"/>
    <w:rsid w:val="00C61E0A"/>
    <w:rsid w:val="00C64314"/>
    <w:rsid w:val="00C86F0D"/>
    <w:rsid w:val="00CD1B30"/>
    <w:rsid w:val="00D00971"/>
    <w:rsid w:val="00D038BA"/>
    <w:rsid w:val="00D12F73"/>
    <w:rsid w:val="00D20E4A"/>
    <w:rsid w:val="00D354AF"/>
    <w:rsid w:val="00D365D4"/>
    <w:rsid w:val="00D87F4B"/>
    <w:rsid w:val="00DA4427"/>
    <w:rsid w:val="00DB60A2"/>
    <w:rsid w:val="00DC6D6C"/>
    <w:rsid w:val="00DF0C65"/>
    <w:rsid w:val="00E411F9"/>
    <w:rsid w:val="00E81D29"/>
    <w:rsid w:val="00E85044"/>
    <w:rsid w:val="00EE6390"/>
    <w:rsid w:val="00EE6979"/>
    <w:rsid w:val="00F20A73"/>
    <w:rsid w:val="00F40281"/>
    <w:rsid w:val="00F9353B"/>
    <w:rsid w:val="00FB4089"/>
    <w:rsid w:val="00FE724E"/>
    <w:rsid w:val="5E987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qFormat/>
    <w:uiPriority w:val="99"/>
    <w:pPr>
      <w:ind w:left="100" w:leftChars="2500"/>
    </w:p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paragraph" w:customStyle="1" w:styleId="13">
    <w:name w:val="arti_metas"/>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4">
    <w:name w:val="arti_publisher"/>
    <w:basedOn w:val="9"/>
    <w:qFormat/>
    <w:uiPriority w:val="0"/>
  </w:style>
  <w:style w:type="character" w:customStyle="1" w:styleId="15">
    <w:name w:val="wp_visitcount"/>
    <w:basedOn w:val="9"/>
    <w:qFormat/>
    <w:uiPriority w:val="0"/>
  </w:style>
  <w:style w:type="character" w:customStyle="1" w:styleId="16">
    <w:name w:val="arti_update"/>
    <w:basedOn w:val="9"/>
    <w:qFormat/>
    <w:uiPriority w:val="0"/>
  </w:style>
  <w:style w:type="character" w:customStyle="1" w:styleId="17">
    <w:name w:val="日期 Char"/>
    <w:basedOn w:val="9"/>
    <w:link w:val="3"/>
    <w:qFormat/>
    <w:uiPriority w:val="99"/>
  </w:style>
  <w:style w:type="paragraph" w:styleId="18">
    <w:name w:val="List Paragraph"/>
    <w:basedOn w:val="1"/>
    <w:qFormat/>
    <w:uiPriority w:val="34"/>
    <w:pPr>
      <w:ind w:firstLine="420" w:firstLineChars="200"/>
    </w:pPr>
  </w:style>
  <w:style w:type="character" w:customStyle="1" w:styleId="19">
    <w:name w:val="页眉 Char"/>
    <w:basedOn w:val="9"/>
    <w:link w:val="5"/>
    <w:qFormat/>
    <w:uiPriority w:val="99"/>
    <w:rPr>
      <w:kern w:val="2"/>
      <w:sz w:val="18"/>
      <w:szCs w:val="18"/>
    </w:rPr>
  </w:style>
  <w:style w:type="character" w:customStyle="1" w:styleId="20">
    <w:name w:val="页脚 Char"/>
    <w:basedOn w:val="9"/>
    <w:link w:val="4"/>
    <w:qFormat/>
    <w:uiPriority w:val="99"/>
    <w:rPr>
      <w:kern w:val="2"/>
      <w:sz w:val="18"/>
      <w:szCs w:val="18"/>
    </w:rPr>
  </w:style>
  <w:style w:type="character" w:customStyle="1" w:styleId="21">
    <w:name w:val="未处理的提及1"/>
    <w:basedOn w:val="9"/>
    <w:qFormat/>
    <w:uiPriority w:val="99"/>
    <w:rPr>
      <w:color w:val="605E5C"/>
      <w:shd w:val="clear" w:color="auto" w:fill="E1DFDD"/>
    </w:rPr>
  </w:style>
  <w:style w:type="character" w:customStyle="1" w:styleId="22">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AB7BE-4E69-4650-95DF-93C130547D87}">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248</Words>
  <Characters>1417</Characters>
  <Lines>11</Lines>
  <Paragraphs>3</Paragraphs>
  <TotalTime>1</TotalTime>
  <ScaleCrop>false</ScaleCrop>
  <LinksUpToDate>false</LinksUpToDate>
  <CharactersWithSpaces>1662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2020-10-04T13:02:00Z</dcterms:created>
  <dc:creator>Administrator</dc:creator>
  <cp:lastModifiedBy>CAA宣传部</cp:lastModifiedBy>
  <dcterms:modified xsi:type="dcterms:W3CDTF">2021-08-23T08:02:21Z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B6E99CFCC46041D7BD3310E11017D928</vt:lpwstr>
  </property>
</Properties>
</file>