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0" w:firstLine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中共中国美术学院委员会关于十四届省委</w:t>
      </w:r>
    </w:p>
    <w:p>
      <w:pPr>
        <w:widowControl w:val="0"/>
        <w:adjustRightInd w:val="0"/>
        <w:snapToGrid w:val="0"/>
        <w:spacing w:beforeLines="0" w:afterLines="0" w:line="560" w:lineRule="exact"/>
        <w:ind w:left="0" w:leftChars="0" w:firstLine="0" w:firstLineChars="0"/>
        <w:jc w:val="center"/>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第十三轮巡视整改进展情况的通报</w:t>
      </w:r>
    </w:p>
    <w:p>
      <w:pPr>
        <w:spacing w:beforeLines="0" w:afterLines="0" w:line="560" w:lineRule="exact"/>
        <w:ind w:firstLine="0" w:firstLineChars="0"/>
      </w:pPr>
    </w:p>
    <w:p>
      <w:pPr>
        <w:spacing w:beforeLines="0" w:afterLines="0" w:line="560" w:lineRule="exact"/>
        <w:ind w:firstLine="632"/>
      </w:pPr>
      <w:r>
        <w:rPr>
          <w:rFonts w:hint="eastAsia"/>
        </w:rPr>
        <w:t>根据省委统一部署，2021年9月13日至11月26日，省委第八巡视组对中国美术学院党委进行了巡视。2022年1月10日，省委巡视组向中国美术学院党委反馈了巡视意见。按照巡视工作有关要求，现将巡视整改情况予以公布。</w:t>
      </w:r>
    </w:p>
    <w:p>
      <w:pPr>
        <w:spacing w:beforeLines="0" w:afterLines="0" w:line="560" w:lineRule="exact"/>
        <w:ind w:firstLine="632"/>
      </w:pPr>
      <w:r>
        <w:rPr>
          <w:rFonts w:hint="eastAsia"/>
        </w:rPr>
        <w:t>中国美术学院党委把巡视整改作为重大政治任务来抓，切实将思想和行动统一到省委的部署要求上来，坚持立整立改、全面整改。</w:t>
      </w:r>
      <w:r>
        <w:rPr>
          <w:rFonts w:hint="eastAsia" w:ascii="黑体" w:hAnsi="黑体" w:eastAsia="黑体"/>
        </w:rPr>
        <w:t>一是提高思想认识，把握整改要求。</w:t>
      </w:r>
      <w:r>
        <w:rPr>
          <w:rFonts w:hint="eastAsia"/>
        </w:rPr>
        <w:t>学校党委按照“提高站位、照单全收、举一反三、强化担当”的原则，制定了详细的整改落实方案，明确了整改时间表、落实责任单位和责任人，并以省委巡视整改为契机，凝心聚力推动学校“双一流”建设。</w:t>
      </w:r>
      <w:r>
        <w:rPr>
          <w:rFonts w:hint="eastAsia" w:ascii="黑体" w:hAnsi="黑体" w:eastAsia="黑体"/>
        </w:rPr>
        <w:t>二是加强组织领导，明确整改任务。</w:t>
      </w:r>
      <w:r>
        <w:rPr>
          <w:rFonts w:hint="eastAsia"/>
        </w:rPr>
        <w:t>学校党委第一时间成立巡视整改工作领导小组，形成巡视反馈意见整改落实“四张清单”，研究解决整改落实中的重大问题、困难问题。</w:t>
      </w:r>
      <w:r>
        <w:rPr>
          <w:rFonts w:hint="eastAsia" w:ascii="黑体" w:hAnsi="黑体" w:eastAsia="黑体"/>
        </w:rPr>
        <w:t>三是坚持上下联动，狠抓督导落实。</w:t>
      </w:r>
      <w:r>
        <w:rPr>
          <w:rFonts w:hint="eastAsia"/>
        </w:rPr>
        <w:t>建立巡视整改跟踪督查机制，做到持续跟踪问效。校党委书记坚决履行第一责任人职责，党政领导班子其他成员认真履行“一岗双责”，学校纪委切实履行监督责任，相关部门和学院切实抓好具体问题整改。加强对整改工作的督导检查，用好问责利器，动真碰硬，强化监督，将整改工作完成情况作为年度考核的重要依据，营造了风清气正的政治生态。</w:t>
      </w:r>
    </w:p>
    <w:p>
      <w:pPr>
        <w:spacing w:beforeLines="0" w:afterLines="0" w:line="560" w:lineRule="exact"/>
        <w:ind w:firstLine="632"/>
      </w:pPr>
      <w:r>
        <w:rPr>
          <w:rFonts w:hint="eastAsia"/>
        </w:rPr>
        <w:t>在巡视整改工作中，免职处理干部3人，诫勉1人，责令检查1人，批评教育7人，建立完善制度</w:t>
      </w:r>
      <w:r>
        <w:t>26</w:t>
      </w:r>
      <w:r>
        <w:rPr>
          <w:rFonts w:hint="eastAsia"/>
        </w:rPr>
        <w:t>项。</w:t>
      </w:r>
    </w:p>
    <w:p>
      <w:pPr>
        <w:spacing w:beforeLines="0" w:afterLines="0" w:line="560" w:lineRule="exact"/>
        <w:ind w:firstLine="632"/>
        <w:rPr>
          <w:rFonts w:ascii="黑体" w:hAnsi="黑体" w:eastAsia="黑体"/>
        </w:rPr>
      </w:pPr>
      <w:r>
        <w:rPr>
          <w:rFonts w:hint="eastAsia" w:ascii="黑体" w:hAnsi="黑体" w:eastAsia="黑体"/>
        </w:rPr>
        <w:t>一、关于“落实习近平总书记对学校的批示指示精神还不够到位”问题的整改情况</w:t>
      </w:r>
    </w:p>
    <w:p>
      <w:pPr>
        <w:spacing w:beforeLines="0" w:afterLines="0" w:line="560" w:lineRule="exact"/>
        <w:ind w:firstLine="632"/>
      </w:pPr>
      <w:r>
        <w:rPr>
          <w:rFonts w:hint="eastAsia" w:ascii="楷体_GB2312" w:hAnsi="楷体_GB2312" w:eastAsia="楷体_GB2312"/>
        </w:rPr>
        <w:t>（一）提高政治站位。</w:t>
      </w:r>
      <w:r>
        <w:rPr>
          <w:rFonts w:hint="eastAsia"/>
        </w:rPr>
        <w:t>学校站在衷心拥护“两个确立”、忠诚践行“两个维护”的政治高度，深刻领会习近平总书记对我校的重要指示，研究落实建设世界一流大学的举措，并提出到“十四五”末基本建成“体现中国文化艺术研究和教学最高水平的世界一流美术学院”。全面落实立德树人根本任务，扎根中国大地办教育、坚持人民之心出精品、立足文化自信育新人、砥砺东方精神铸高峰，以“中国方案、国美模式”探索出一条契合艺术教育规律、体现国美智慧、具有原创性与示范性的艺术教育自主发展之路，始终保持在全国艺术院校中的领先地位。</w:t>
      </w:r>
    </w:p>
    <w:p>
      <w:pPr>
        <w:spacing w:beforeLines="0" w:afterLines="0" w:line="560" w:lineRule="exact"/>
        <w:ind w:firstLine="632"/>
      </w:pPr>
      <w:r>
        <w:rPr>
          <w:rFonts w:hint="eastAsia" w:ascii="楷体_GB2312" w:hAnsi="楷体_GB2312" w:eastAsia="楷体_GB2312"/>
        </w:rPr>
        <w:t>（二）加快建设世界一流大学。</w:t>
      </w:r>
      <w:r>
        <w:rPr>
          <w:rFonts w:hint="eastAsia"/>
        </w:rPr>
        <w:t>加强顶层设计，高质量编制“1总规+4专项+5学科”体系的学校事业发展“十四五”规划，科学制订新一轮“双一流”建设方案，擘画加快迈向世界一流大学新征程的蓝图。实施美术学学科“登顶计划”，实施设计学学科“攀登计划”，打造“视觉艺术东方学”学科高峰集群，提出“到2025年，美术学进入世界一流学科前列，设计学进入世界一流学科行列，五学科整体建设水平处于国内领先地位”的目标。2022年，学校再度入选“双一流”建设名单，美术学为世界一流建设学科。2</w:t>
      </w:r>
      <w:r>
        <w:t>6</w:t>
      </w:r>
      <w:r>
        <w:rPr>
          <w:rFonts w:hint="eastAsia"/>
        </w:rPr>
        <w:t>个专业入选国家级一流本科专业建设点，占全校招生专业的9</w:t>
      </w:r>
      <w:r>
        <w:t>3%</w:t>
      </w:r>
      <w:r>
        <w:rPr>
          <w:rFonts w:hint="eastAsia"/>
        </w:rPr>
        <w:t>，比例高居全国前列。</w:t>
      </w:r>
    </w:p>
    <w:p>
      <w:pPr>
        <w:spacing w:beforeLines="0" w:afterLines="0" w:line="560" w:lineRule="exact"/>
        <w:ind w:firstLine="632"/>
      </w:pPr>
      <w:r>
        <w:rPr>
          <w:rFonts w:hint="eastAsia" w:ascii="楷体_GB2312" w:hAnsi="楷体_GB2312" w:eastAsia="楷体_GB2312"/>
        </w:rPr>
        <w:t>（三）健全完善贯彻落实的长效机制。</w:t>
      </w:r>
      <w:r>
        <w:rPr>
          <w:rFonts w:hint="eastAsia"/>
        </w:rPr>
        <w:t>严格落实政治理论学习“第一议题”制度，深入学习贯彻习近平新时代中国特色社会主义思想及习近平总书记重要讲话和指示批示精神。紧抓时间节点，积极拓展学习形式，通过党委会、中层干部会、延安文艺座谈会80周年纪念会等，开展“落实总书记指示批示精神，加快建设世界一流大学”思想大讨论，形成学习宣传教育常态化机制。推动主题教育走深走实，对各二级学院党委逐一进行专项检查指导，深入推进基层党组织标准化建设并纳入年度考核。</w:t>
      </w:r>
    </w:p>
    <w:p>
      <w:pPr>
        <w:spacing w:beforeLines="0" w:afterLines="0" w:line="560" w:lineRule="exact"/>
        <w:ind w:firstLine="632"/>
      </w:pPr>
      <w:r>
        <w:rPr>
          <w:rFonts w:hint="eastAsia" w:ascii="楷体_GB2312" w:hAnsi="楷体_GB2312" w:eastAsia="楷体_GB2312"/>
        </w:rPr>
        <w:t>（四）培养新时代的文艺复兴人。</w:t>
      </w:r>
      <w:r>
        <w:rPr>
          <w:rFonts w:hint="eastAsia"/>
        </w:rPr>
        <w:t>根据教育部“双万”建设要求和学校“四通”人才培养目标，优化“本硕博”三层次分类方案，在全国艺术院校率先启动“完全学分制”改革，获省级教学成果奖特等奖1项、一等奖2项。加强艺术教育特色质量文化，联合省内13所高校5000余位青年艺术家举办第四届之江国际青年艺术周，检验教学成果，助推新文科建设。激发全校创新创业氛围和学生双创素养，在第七届中国国际互联网+大学生创新创业大赛中实现2项金奖、1项本科生组最佳创意奖（全国唯一）的历史性突破，在全国艺术院校中位列第一。优化研究生培养机制，修订《硕士、博士生导师遴选条例》，出台《学位论文预答辩实施办法》等，健全研究生培养质量管理体系与学位论文质量问责机制。针对性加强学生体质健康水平，学生体测优良率在全省本科院校中排名上升29位。</w:t>
      </w:r>
    </w:p>
    <w:p>
      <w:pPr>
        <w:spacing w:beforeLines="0" w:afterLines="0" w:line="560" w:lineRule="exact"/>
        <w:ind w:firstLine="632"/>
        <w:rPr>
          <w:rFonts w:ascii="黑体" w:hAnsi="黑体" w:eastAsia="黑体"/>
        </w:rPr>
      </w:pPr>
      <w:r>
        <w:rPr>
          <w:rFonts w:hint="eastAsia" w:ascii="黑体" w:hAnsi="黑体" w:eastAsia="黑体"/>
        </w:rPr>
        <w:t>二、关于“贯彻落实党委领导下的校长负责制还有薄弱环节方面”问题的整改情况</w:t>
      </w:r>
    </w:p>
    <w:p>
      <w:pPr>
        <w:spacing w:beforeLines="0" w:afterLines="0" w:line="560" w:lineRule="exact"/>
        <w:ind w:firstLine="632"/>
      </w:pPr>
      <w:r>
        <w:rPr>
          <w:rFonts w:hint="eastAsia" w:ascii="楷体_GB2312" w:hAnsi="楷体_GB2312" w:eastAsia="楷体_GB2312"/>
        </w:rPr>
        <w:t>（一）推进大学治理现代化。</w:t>
      </w:r>
      <w:r>
        <w:rPr>
          <w:rFonts w:hint="eastAsia"/>
        </w:rPr>
        <w:t>全面加强党的领导，认真落实党委领导下的校长负责制，严格按照“两个议事规则”进行决策。积极构建党建统领的艺术院校整体智治体系，制定“十四五”整体智治发展专项规划，以数字化、学分制、院所制改革优化治理结构、释放办学活力。构建适应学校一流发展战略要求的制度体系，完成《中国美术学院章程》《中国美术学院学术委员会章程》等</w:t>
      </w:r>
      <w:r>
        <w:t>26</w:t>
      </w:r>
      <w:r>
        <w:rPr>
          <w:rFonts w:hint="eastAsia"/>
        </w:rPr>
        <w:t>项制度修订。加快“数字国美”建设，成立以党委书记、校长任双组长的数字化改革工作领导小组，独立设置学校信息技术中心，提出“1+3+5+N”的总体建设路径，打造“国美在线教育社区”“网络远程考试”“国美专属钉”等典型应用场景，全校办事服务事项100%实现“最多跑一次”，并开通网上办理渠道，师生获得感显著提高。</w:t>
      </w:r>
    </w:p>
    <w:p>
      <w:pPr>
        <w:spacing w:beforeLines="0" w:afterLines="0" w:line="560" w:lineRule="exact"/>
        <w:ind w:firstLine="632"/>
      </w:pPr>
      <w:r>
        <w:rPr>
          <w:rFonts w:hint="eastAsia" w:ascii="楷体_GB2312" w:hAnsi="楷体_GB2312" w:eastAsia="楷体_GB2312"/>
        </w:rPr>
        <w:t>（二）提升艺术藏品管理水平。</w:t>
      </w:r>
      <w:r>
        <w:rPr>
          <w:rFonts w:hint="eastAsia"/>
        </w:rPr>
        <w:t>成立</w:t>
      </w:r>
      <w:bookmarkStart w:id="0" w:name="OLE_LINK6"/>
      <w:bookmarkStart w:id="1" w:name="OLE_LINK5"/>
      <w:r>
        <w:rPr>
          <w:rFonts w:hint="eastAsia"/>
        </w:rPr>
        <w:t>以校长为组长</w:t>
      </w:r>
      <w:bookmarkEnd w:id="0"/>
      <w:bookmarkEnd w:id="1"/>
      <w:r>
        <w:rPr>
          <w:rFonts w:hint="eastAsia"/>
        </w:rPr>
        <w:t>的“艺术藏品管理整改专班”，学习贯彻习近平总书记关于文物保护利用的重要论述，研究落实发挥艺术藏品对一流学科建设作用的举措。会同省文物局成立“中国美术学院艺术藏品分类定级专家库”，开展藏品分类定级。将二级学院除教学用品（师生留校作品等）外的艺术藏品，分类统一纳入学校资产管理，完善校级藏品管理系统，确保一品一档，精细管理。健全和完善《国有资产管理办法（修订）》《接受捐赠艺术品管理办法》等制度，组建分工明确的管理团队，改善现有库房保管条件，进一步规范学校艺术藏品的收藏、管理、修复、使用等常态化工作。</w:t>
      </w:r>
    </w:p>
    <w:p>
      <w:pPr>
        <w:spacing w:beforeLines="0" w:afterLines="0" w:line="560" w:lineRule="exact"/>
        <w:ind w:firstLine="632"/>
        <w:rPr>
          <w:rFonts w:ascii="黑体" w:hAnsi="黑体" w:eastAsia="黑体"/>
        </w:rPr>
      </w:pPr>
      <w:r>
        <w:rPr>
          <w:rFonts w:hint="eastAsia" w:ascii="黑体" w:hAnsi="黑体" w:eastAsia="黑体"/>
        </w:rPr>
        <w:t>三、关于“落实立德树人根本任务有差距”问题的整改</w:t>
      </w:r>
    </w:p>
    <w:p>
      <w:pPr>
        <w:spacing w:beforeLines="0" w:afterLines="0" w:line="560" w:lineRule="exact"/>
        <w:ind w:firstLine="632"/>
      </w:pPr>
      <w:r>
        <w:rPr>
          <w:rFonts w:hint="eastAsia" w:ascii="楷体_GB2312" w:hAnsi="楷体_GB2312" w:eastAsia="楷体_GB2312"/>
        </w:rPr>
        <w:t>（一）促进思政工作提质增效。</w:t>
      </w:r>
      <w:r>
        <w:rPr>
          <w:rFonts w:hint="eastAsia"/>
        </w:rPr>
        <w:t>加强思政工作顶层设计，担任新一届省高校思政课教指委主任单位并承办首次会议，依托学校特色优势推动全省思政课的高质量发展。深化马克思主义学院学术内涵建设，加强马克思主义文艺理论方向博士生培养。学校获评全省首批课程思政示范校，入选国家级课程思政示范课程1门、课程思政教学名师和团队1项，“星空下的思政课”多次获新华社、人民日报等中央媒体专题报道，思政课教师编写的《画说初心》等具有“国美味”的理论读物入选主题出版重点出版物及国家出版基金项目。</w:t>
      </w:r>
    </w:p>
    <w:p>
      <w:pPr>
        <w:spacing w:beforeLines="0" w:afterLines="0" w:line="560" w:lineRule="exact"/>
        <w:ind w:firstLine="632"/>
      </w:pPr>
      <w:r>
        <w:rPr>
          <w:rFonts w:hint="eastAsia" w:ascii="楷体_GB2312" w:hAnsi="楷体_GB2312" w:eastAsia="楷体_GB2312"/>
        </w:rPr>
        <w:t>（二）配齐配强思政工作队伍。</w:t>
      </w:r>
      <w:r>
        <w:rPr>
          <w:rFonts w:hint="eastAsia"/>
        </w:rPr>
        <w:t>通过“校内择选”“公开招聘”“人才引进”三管齐下，新增22名思政课教师纳入高校思想政治理论课教师信息库。出台《关于进一步加强辅导员队伍建设的意见》，健全辅导员“双重身份”“双线晋升”职称职级评聘政策，遴选成立7个国美特色辅导员工作室。加强辅导员和心理健康专职人员、心理观察员的专业化培训，形成“五级联动”。发展“美愈益心”艺术疗愈特色品牌，探索艺术疗愈课程建设实践，1名教师获评浙江省心理健康年度人物。</w:t>
      </w:r>
    </w:p>
    <w:p>
      <w:pPr>
        <w:spacing w:beforeLines="0" w:afterLines="0" w:line="560" w:lineRule="exact"/>
        <w:ind w:firstLine="632"/>
      </w:pPr>
      <w:r>
        <w:rPr>
          <w:rFonts w:hint="eastAsia" w:ascii="楷体_GB2312" w:hAnsi="楷体_GB2312" w:eastAsia="楷体_GB2312"/>
        </w:rPr>
        <w:t>（三）强化师德师风建设。</w:t>
      </w:r>
      <w:r>
        <w:rPr>
          <w:rFonts w:hint="eastAsia"/>
        </w:rPr>
        <w:t>出台《中国美术学院师德建设实施细则》《中国美术学院师德失范行为处理办法》，对近期师德失范事件进行倒查分析、严肃处理。坚持纠树并举，全面弘扬哲匠精神，连续开展哲匠奖评选表彰工作，引领师德教育，召开师德专题教育启动部署会，印发《师德专题教育工作方案》，建立师德负面清单，签订师德承诺书。</w:t>
      </w:r>
    </w:p>
    <w:p>
      <w:pPr>
        <w:spacing w:beforeLines="0" w:afterLines="0" w:line="560" w:lineRule="exact"/>
        <w:ind w:firstLine="632"/>
        <w:rPr>
          <w:rFonts w:ascii="黑体" w:hAnsi="黑体" w:eastAsia="黑体"/>
        </w:rPr>
      </w:pPr>
      <w:r>
        <w:rPr>
          <w:rFonts w:hint="eastAsia" w:ascii="黑体" w:hAnsi="黑体" w:eastAsia="黑体"/>
        </w:rPr>
        <w:t>四、关于“意识形态阵地管控不严”问题的整改情况</w:t>
      </w:r>
    </w:p>
    <w:p>
      <w:pPr>
        <w:spacing w:beforeLines="0" w:afterLines="0" w:line="560" w:lineRule="exact"/>
        <w:ind w:firstLine="632"/>
      </w:pPr>
      <w:r>
        <w:rPr>
          <w:rFonts w:hint="eastAsia" w:ascii="楷体_GB2312" w:hAnsi="楷体_GB2312" w:eastAsia="楷体_GB2312"/>
        </w:rPr>
        <w:t>（一）强化意识形态阵地管理。</w:t>
      </w:r>
      <w:r>
        <w:rPr>
          <w:rFonts w:hint="eastAsia"/>
        </w:rPr>
        <w:t>坚持宣传思政联席会议、意识形态工作和舆情分析例会制度，定期对校园安全稳定和意识形态工作进行分析研判。出台《教材管理办法（暂行）》《艺术创作（设计）主题审核工作管理办法》等，强化对艺术作品、教材、出版物等意识形态导向的审核把关，将马克思主义宗教观的教育有机融入到思政课堂教学中，坚守理论阵地、规范舆论阵地、管好文化阵地。</w:t>
      </w:r>
    </w:p>
    <w:p>
      <w:pPr>
        <w:spacing w:beforeLines="0" w:afterLines="0" w:line="560" w:lineRule="exact"/>
        <w:ind w:firstLine="632"/>
      </w:pPr>
      <w:r>
        <w:rPr>
          <w:rFonts w:hint="eastAsia" w:ascii="楷体_GB2312" w:hAnsi="楷体_GB2312" w:eastAsia="楷体_GB2312"/>
        </w:rPr>
        <w:t>（二）构建责任落实闭环管理。</w:t>
      </w:r>
      <w:r>
        <w:rPr>
          <w:rFonts w:hint="eastAsia"/>
        </w:rPr>
        <w:t>研究制定学校和各二级学院党委意识形态工作责任制任务清单，推动清单化履职尽责。把二级党委意识形态工作责任制落实情况，列入校内巡察的工作内容，检查结果在校内作通报。修订《中层领导班子和中层干部考核工作办法》，将“落实意识形态工作责任制情况”列入中层领导班子和中层干部的考核内容。</w:t>
      </w:r>
    </w:p>
    <w:p>
      <w:pPr>
        <w:spacing w:beforeLines="0" w:afterLines="0" w:line="560" w:lineRule="exact"/>
        <w:ind w:firstLine="632"/>
        <w:rPr>
          <w:rFonts w:ascii="黑体" w:hAnsi="黑体" w:eastAsia="黑体"/>
        </w:rPr>
      </w:pPr>
      <w:r>
        <w:rPr>
          <w:rFonts w:hint="eastAsia" w:ascii="黑体" w:hAnsi="黑体" w:eastAsia="黑体"/>
        </w:rPr>
        <w:t>五、关于“发挥‘国字头’艺术院校服务浙江经济社会发展作用发力不够”问题的整改情况</w:t>
      </w:r>
    </w:p>
    <w:p>
      <w:pPr>
        <w:spacing w:beforeLines="0" w:afterLines="0" w:line="560" w:lineRule="exact"/>
        <w:ind w:firstLine="632"/>
      </w:pPr>
      <w:r>
        <w:rPr>
          <w:rFonts w:hint="eastAsia" w:ascii="楷体_GB2312" w:hAnsi="楷体_GB2312" w:eastAsia="楷体_GB2312"/>
        </w:rPr>
        <w:t>（一）加强重点平台和智库建设。</w:t>
      </w:r>
      <w:r>
        <w:rPr>
          <w:rFonts w:hint="eastAsia"/>
        </w:rPr>
        <w:t>新增国家社科基金艺术学重大项目2项，国家艺术基金人才培养重大委托1项。文创设计智造实验室入选首批教育部哲学社会科学实验室，传统热成型手工技艺与数字化设计实验室获批文旅部重点实验室。完善研创成果转化激励制度，横向课题立项积极性与管理水平持续提升，获腾讯游戏委托的“国潮游戏艺术研究”横向课题立项经费5000万。</w:t>
      </w:r>
    </w:p>
    <w:p>
      <w:pPr>
        <w:spacing w:beforeLines="0" w:afterLines="0" w:line="560" w:lineRule="exact"/>
        <w:ind w:firstLine="632"/>
      </w:pPr>
      <w:r>
        <w:rPr>
          <w:rFonts w:hint="eastAsia" w:ascii="楷体_GB2312" w:hAnsi="楷体_GB2312" w:eastAsia="楷体_GB2312"/>
        </w:rPr>
        <w:t>（二）进一步发挥艺术对经济社会发展的增益作用。</w:t>
      </w:r>
      <w:r>
        <w:rPr>
          <w:rFonts w:hint="eastAsia"/>
        </w:rPr>
        <w:t>完成杭州亚运会火炬、官方体育服饰、礼仪服装等系列设计、西藏和平解放70周年中华文化公园景观雕塑创作、雄安新区城市家具设计等国家重大任务。持续举办中国设计智造大奖，以艺术设计赋能驱动长三角一体化，助推“中国制造”转型升级。先后与21处地方政府、高校、企业、科研单位达成各类合作协议，落成“乡土学院”1</w:t>
      </w:r>
      <w:r>
        <w:t>0</w:t>
      </w:r>
      <w:r>
        <w:rPr>
          <w:rFonts w:hint="eastAsia"/>
        </w:rPr>
        <w:t>余所，有效把学校的文化资源、创新资源转化为发展资源。</w:t>
      </w:r>
    </w:p>
    <w:p>
      <w:pPr>
        <w:spacing w:beforeLines="0" w:afterLines="0" w:line="560" w:lineRule="exact"/>
        <w:ind w:firstLine="632"/>
      </w:pPr>
      <w:r>
        <w:rPr>
          <w:rFonts w:hint="eastAsia" w:ascii="楷体_GB2312" w:hAnsi="楷体_GB2312" w:eastAsia="楷体_GB2312"/>
        </w:rPr>
        <w:t>（三）提升国家大学科技（创意）园建设水平。</w:t>
      </w:r>
      <w:r>
        <w:rPr>
          <w:rFonts w:hint="eastAsia"/>
        </w:rPr>
        <w:t>制定中国美术学院国家大学科技园发展规划，与西湖区重新签订合作协议、重新分配双方股权比重，体现学校主导地位，推进大学科技园建设。建立支撑服务体系，加强文化创意企业孵化器建设，调整大学科技园空间场所分配方案，增加创业孵化空间至15000余平方米，培养和凝聚创新创业人才。</w:t>
      </w:r>
    </w:p>
    <w:p>
      <w:pPr>
        <w:spacing w:beforeLines="0" w:afterLines="0" w:line="560" w:lineRule="exact"/>
        <w:ind w:firstLine="632"/>
        <w:rPr>
          <w:rFonts w:ascii="黑体" w:hAnsi="黑体" w:eastAsia="黑体"/>
        </w:rPr>
      </w:pPr>
      <w:r>
        <w:rPr>
          <w:rFonts w:hint="eastAsia" w:ascii="黑体" w:hAnsi="黑体" w:eastAsia="黑体"/>
        </w:rPr>
        <w:t>六、关于“落实全面从严治党主体责任不到位”问题的整改情况</w:t>
      </w:r>
    </w:p>
    <w:p>
      <w:pPr>
        <w:spacing w:beforeLines="0" w:afterLines="0" w:line="560" w:lineRule="exact"/>
        <w:ind w:firstLine="632"/>
      </w:pPr>
      <w:r>
        <w:rPr>
          <w:rFonts w:hint="eastAsia" w:ascii="楷体_GB2312" w:hAnsi="楷体_GB2312" w:eastAsia="楷体_GB2312"/>
        </w:rPr>
        <w:t>（一）严格落实全面从严治党主体责任。</w:t>
      </w:r>
      <w:r>
        <w:rPr>
          <w:rFonts w:hint="eastAsia"/>
        </w:rPr>
        <w:t>印发《加强对“一把手”和领导班子监督“五张责任清单”》，制定《2022年全面从严治党组织领导与责任分工》，党委班子成员年末向学校党委递交《落实责任工作进展情况报告书》。推动管党治党责任压力层层传导，把党风廉政建设作为二级单位主要负责人年度述职述廉的重要内容，形成“年初有部署，年中有督查，年末综合检查”的工作机制。</w:t>
      </w:r>
    </w:p>
    <w:p>
      <w:pPr>
        <w:spacing w:beforeLines="0" w:afterLines="0" w:line="560" w:lineRule="exact"/>
        <w:ind w:firstLine="632"/>
      </w:pPr>
      <w:r>
        <w:rPr>
          <w:rFonts w:hint="eastAsia" w:ascii="楷体_GB2312" w:hAnsi="楷体_GB2312" w:eastAsia="楷体_GB2312"/>
        </w:rPr>
        <w:t>（二）深化“清廉国美”建设。</w:t>
      </w:r>
      <w:r>
        <w:rPr>
          <w:rFonts w:hint="eastAsia"/>
        </w:rPr>
        <w:t>修订《关于推进“清廉国美”建设的实施意见》，召开2022年全面从严治党工作暨“清廉国美”建设推进会，每季度召开全面从严治党工作专题分析会，深入推进“八大清廉单元”建设，各二级学院均已完成“清廉学院”建设方案制定。举办首届“廉政文化创意设计大赛”，开展《视觉艺术在廉洁文化传播中的价值及路径研究》课题研究，推进廉洁文化建设。</w:t>
      </w:r>
    </w:p>
    <w:p>
      <w:pPr>
        <w:spacing w:beforeLines="0" w:afterLines="0" w:line="560" w:lineRule="exact"/>
        <w:ind w:firstLine="632"/>
      </w:pPr>
      <w:r>
        <w:rPr>
          <w:rFonts w:hint="eastAsia" w:ascii="楷体_GB2312" w:hAnsi="楷体_GB2312" w:eastAsia="楷体_GB2312"/>
        </w:rPr>
        <w:t>（三）进一步强化警示教育。</w:t>
      </w:r>
      <w:r>
        <w:rPr>
          <w:rFonts w:hint="eastAsia"/>
        </w:rPr>
        <w:t>梳理、提炼学校2016年以来处理违纪违规案例并编成警示案例教育材料，对全校党员干部开展警示教育；组织党员领导干部、重职重岗人员集中观看警示教育片；编印《高校警示教育案例汇编》，分发各党组织开展警示教育；通过“党日话廉”学习平台每月开展全体党员警示教育活动；持续建设“清风皓品”廉洁文化品牌。</w:t>
      </w:r>
    </w:p>
    <w:p>
      <w:pPr>
        <w:spacing w:beforeLines="0" w:afterLines="0" w:line="560" w:lineRule="exact"/>
        <w:ind w:firstLine="632"/>
      </w:pPr>
      <w:r>
        <w:rPr>
          <w:rFonts w:hint="eastAsia" w:ascii="楷体_GB2312" w:hAnsi="楷体_GB2312" w:eastAsia="楷体_GB2312"/>
        </w:rPr>
        <w:t>（四）加大巡察工作力度。</w:t>
      </w:r>
      <w:r>
        <w:rPr>
          <w:rFonts w:hint="eastAsia"/>
        </w:rPr>
        <w:t>制定2022年巡察工作计划和工作方案，开展了9个二级单位党组织巡察，基本实现巡察全覆盖。印发《关于开展校内巡察整改落实情况回访检查的通知》，开展第三批3个单位校内巡察整改落实情况回访检查。梳理被巡察党组织存在的共性问题，印发给全校各基层党组织对照开展自查自纠，提升巡察质效。</w:t>
      </w:r>
    </w:p>
    <w:p>
      <w:pPr>
        <w:spacing w:beforeLines="0" w:afterLines="0" w:line="560" w:lineRule="exact"/>
        <w:ind w:firstLine="632"/>
        <w:rPr>
          <w:rFonts w:ascii="黑体" w:hAnsi="黑体" w:eastAsia="黑体"/>
        </w:rPr>
      </w:pPr>
      <w:r>
        <w:rPr>
          <w:rFonts w:hint="eastAsia" w:ascii="黑体" w:hAnsi="黑体" w:eastAsia="黑体"/>
        </w:rPr>
        <w:t>七、关于“校纪委监督执纪失之于软”问题的整改情况</w:t>
      </w:r>
    </w:p>
    <w:p>
      <w:pPr>
        <w:spacing w:beforeLines="0" w:afterLines="0" w:line="560" w:lineRule="exact"/>
        <w:ind w:firstLine="632"/>
      </w:pPr>
      <w:r>
        <w:rPr>
          <w:rFonts w:hint="eastAsia" w:ascii="楷体_GB2312" w:hAnsi="楷体_GB2312" w:eastAsia="楷体_GB2312"/>
        </w:rPr>
        <w:t>（一）强化政治监督。</w:t>
      </w:r>
      <w:r>
        <w:rPr>
          <w:rFonts w:hint="eastAsia"/>
        </w:rPr>
        <w:t>把对习近平总书记的重要批示指示精神贯彻落实情况的监督，作为政治监督的首要任务，严格对标对表《关于加强高校党的政治建设的政治监督工作方案》，按照55项工作清单开展常态化政治监督。加强对“一把手”和领导班子监督的“五张责任清单”落实情况的监督。制定《关于落实省委巡视反馈意见整改的跟踪督查工作方案》《巡视反馈问题整改进度清单》，对整改任务全程跟踪督办。从2021年起，纪委坚持每年初向党委提交《推进全面从严治党深化党风廉政建设和反腐败工作的建议》，强化“四责协同”，以清单式告知校党委班子成员履行党风廉政建设主体责任和“一岗双责”的责任。</w:t>
      </w:r>
    </w:p>
    <w:p>
      <w:pPr>
        <w:spacing w:beforeLines="0" w:afterLines="0" w:line="560" w:lineRule="exact"/>
        <w:ind w:firstLine="632"/>
      </w:pPr>
      <w:r>
        <w:rPr>
          <w:rFonts w:hint="eastAsia" w:ascii="楷体_GB2312" w:hAnsi="楷体_GB2312" w:eastAsia="楷体_GB2312"/>
        </w:rPr>
        <w:t>（二）提升能力建设。</w:t>
      </w:r>
      <w:r>
        <w:rPr>
          <w:rFonts w:hint="eastAsia"/>
        </w:rPr>
        <w:t>招聘熟悉案件办理工作专门人才，配齐专职纪检监察干部，制定《专职纪检监察干部学习制度》，对全校二级纪委书记（纪检委员）开展专题辅导。年度内陆续分层分批组织专兼职纪检监察干部参加各类业务培训，做到专题培训、业务交流、工作研讨、以干代训、挂职锻炼五位一体。制定《二级纪委日常监督内容清单》《二级纪委工作考评暂行办法》，加强履职监督和业务指导。</w:t>
      </w:r>
    </w:p>
    <w:p>
      <w:pPr>
        <w:spacing w:beforeLines="0" w:afterLines="0" w:line="560" w:lineRule="exact"/>
        <w:ind w:firstLine="632"/>
      </w:pPr>
      <w:r>
        <w:rPr>
          <w:rFonts w:hint="eastAsia" w:ascii="楷体_GB2312" w:hAnsi="楷体_GB2312" w:eastAsia="楷体_GB2312"/>
        </w:rPr>
        <w:t>（三）严格信访处置。</w:t>
      </w:r>
      <w:r>
        <w:rPr>
          <w:rFonts w:hint="eastAsia"/>
        </w:rPr>
        <w:t>2021年开始已加大信访件分析研判力度，制定了《中国美术学院纪检监察机构问题线索管理和处置办法》，不定期召开专题会议，精准区分业务范围内外的信访举报件；对业务内信访件深入研究，依纪依规依法处置，做到按规定时效办理。已建立台账，指定专人对转办信访件进行跟踪督办，督促责任单位（部门）限时处理信访件，做到转办件闭环管理。</w:t>
      </w:r>
    </w:p>
    <w:p>
      <w:pPr>
        <w:spacing w:beforeLines="0" w:afterLines="0" w:line="560" w:lineRule="exact"/>
        <w:ind w:firstLine="632"/>
      </w:pPr>
      <w:r>
        <w:rPr>
          <w:rFonts w:hint="eastAsia" w:ascii="楷体_GB2312" w:hAnsi="楷体_GB2312" w:eastAsia="楷体_GB2312"/>
        </w:rPr>
        <w:t>（四）深化运用“四种形态”。</w:t>
      </w:r>
      <w:r>
        <w:rPr>
          <w:rFonts w:hint="eastAsia"/>
        </w:rPr>
        <w:t>修订《关于践行监督执纪“四种形态”的实施办法》，重点把践行“四种形态”特别是第一种形态作为各级党组织履行主体责任的重要抓手。</w:t>
      </w:r>
      <w:bookmarkStart w:id="2" w:name="_GoBack"/>
      <w:bookmarkEnd w:id="2"/>
      <w:r>
        <w:rPr>
          <w:rFonts w:hint="eastAsia"/>
        </w:rPr>
        <w:t>对重点领域和关键岗位的领导干部开展年度谈话全覆盖，在年中全面从严治党、党风廉政建设检查中，加强对实践“四种形态”特别是第一种形态情况的检查，并纳入考核范围。</w:t>
      </w:r>
    </w:p>
    <w:p>
      <w:pPr>
        <w:spacing w:beforeLines="0" w:afterLines="0" w:line="560" w:lineRule="exact"/>
        <w:ind w:firstLine="632"/>
        <w:rPr>
          <w:rFonts w:ascii="黑体" w:hAnsi="黑体" w:eastAsia="黑体"/>
        </w:rPr>
      </w:pPr>
      <w:r>
        <w:rPr>
          <w:rFonts w:hint="eastAsia" w:ascii="黑体" w:hAnsi="黑体" w:eastAsia="黑体"/>
        </w:rPr>
        <w:t>八、关于“对一些重大廉政风险点监督缺乏有效措施”问题的整改情况</w:t>
      </w:r>
    </w:p>
    <w:p>
      <w:pPr>
        <w:spacing w:beforeLines="0" w:afterLines="0" w:line="560" w:lineRule="exact"/>
        <w:ind w:firstLine="632"/>
      </w:pPr>
      <w:r>
        <w:rPr>
          <w:rFonts w:hint="eastAsia" w:ascii="楷体_GB2312" w:hAnsi="楷体_GB2312" w:eastAsia="楷体_GB2312"/>
        </w:rPr>
        <w:t>（一）完善人才招聘工作机制。</w:t>
      </w:r>
      <w:r>
        <w:rPr>
          <w:rFonts w:hint="eastAsia"/>
        </w:rPr>
        <w:t>健全和完善《公开招聘工作实施方案》《教学岗位公开招聘相关工作实施细则》《非教学岗位公开招聘相关工作实施细则》等制度。强化过程管理，严格落实全程录音录像、专家库评委选拔等制度。强化风险防控，校纪委派专人全程监督，依法依规做到信息公开、程序公开、结果公开。</w:t>
      </w:r>
    </w:p>
    <w:p>
      <w:pPr>
        <w:spacing w:beforeLines="0" w:afterLines="0" w:line="560" w:lineRule="exact"/>
        <w:ind w:firstLine="632"/>
      </w:pPr>
      <w:r>
        <w:rPr>
          <w:rFonts w:hint="eastAsia" w:ascii="楷体_GB2312" w:hAnsi="楷体_GB2312" w:eastAsia="楷体_GB2312"/>
        </w:rPr>
        <w:t>（二）加强内控监管建设。</w:t>
      </w:r>
      <w:r>
        <w:rPr>
          <w:rFonts w:hint="eastAsia"/>
        </w:rPr>
        <w:t>修订《财务审批管理办法》，明确分层审批和审核流程，推出网上报销审批系统，将各层次审批权限和审核流程嵌入到网上报销系统，实现部分财务审批业务线上审批。建立借款核销监督机制，常态化开展借款清理工作，基本完成借款清理工作。</w:t>
      </w:r>
    </w:p>
    <w:p>
      <w:pPr>
        <w:spacing w:beforeLines="0" w:afterLines="0" w:line="560" w:lineRule="exact"/>
        <w:ind w:firstLine="632"/>
      </w:pPr>
      <w:r>
        <w:rPr>
          <w:rFonts w:hint="eastAsia" w:ascii="楷体_GB2312" w:hAnsi="楷体_GB2312" w:eastAsia="楷体_GB2312"/>
        </w:rPr>
        <w:t>（三）完善校办企业监管体系。</w:t>
      </w:r>
      <w:r>
        <w:rPr>
          <w:rFonts w:hint="eastAsia"/>
        </w:rPr>
        <w:t>加强廉政建设，学校资产公司与7家全资企业负责人签订《2022年党风廉政建设责任书》，风景总院与下属各分院签订党风廉政建设责任书，定期开展合同签订、履行过程涉及的廉政风险点检查。规范财务管理，强化委派会计制度，加强日常财务监管，开展校办企业财务数据分析。加强经常性会计审计监督，聘请独立的第三方会计事务所进行专项审计。</w:t>
      </w:r>
    </w:p>
    <w:p>
      <w:pPr>
        <w:spacing w:beforeLines="0" w:afterLines="0" w:line="560" w:lineRule="exact"/>
        <w:ind w:firstLine="632"/>
        <w:rPr>
          <w:rFonts w:ascii="黑体" w:hAnsi="黑体" w:eastAsia="黑体"/>
        </w:rPr>
      </w:pPr>
      <w:r>
        <w:rPr>
          <w:rFonts w:hint="eastAsia" w:ascii="黑体" w:hAnsi="黑体" w:eastAsia="黑体"/>
        </w:rPr>
        <w:t>九、关于“作风建设还不严不实”问题的整改情况</w:t>
      </w:r>
    </w:p>
    <w:p>
      <w:pPr>
        <w:spacing w:beforeLines="0" w:afterLines="0" w:line="560" w:lineRule="exact"/>
        <w:ind w:firstLine="632"/>
      </w:pPr>
      <w:r>
        <w:rPr>
          <w:rFonts w:hint="eastAsia" w:ascii="楷体_GB2312" w:hAnsi="楷体_GB2312" w:eastAsia="楷体_GB2312"/>
        </w:rPr>
        <w:t>（一）强化干部履职担当。</w:t>
      </w:r>
      <w:r>
        <w:rPr>
          <w:rFonts w:hint="eastAsia"/>
        </w:rPr>
        <w:t>成立美术馆项目问责调查组，对该项目进行了调查核实，形成美术馆10号楼改造提升项目问责调查报告，对有关同志予以诫勉等处理。成立美术馆改造工程专班，相关部门各司其职，明确项目负责人和责任人，加大力度做好美术馆装修改造工作，项目严格按照建设流程推进。</w:t>
      </w:r>
    </w:p>
    <w:p>
      <w:pPr>
        <w:spacing w:beforeLines="0" w:afterLines="0" w:line="560" w:lineRule="exact"/>
        <w:ind w:firstLine="632"/>
      </w:pPr>
      <w:r>
        <w:rPr>
          <w:rFonts w:hint="eastAsia" w:ascii="楷体_GB2312" w:hAnsi="楷体_GB2312" w:eastAsia="楷体_GB2312"/>
        </w:rPr>
        <w:t>（二）加强经费管理使用监管。</w:t>
      </w:r>
      <w:r>
        <w:rPr>
          <w:rFonts w:hint="eastAsia"/>
        </w:rPr>
        <w:t>已责成相关目标管理协议单位对所有涉及的费用项进行梳理分析分类，并委托会计师事务所对材料进行审核，形成审计结论和处置建议，提交学校党委会研究审定，已取消设立的“经费折”。举一反三，开展二级单位奖励性绩效工资发放管理情况专项检查，严格落实津补贴发放有关规定。</w:t>
      </w:r>
    </w:p>
    <w:p>
      <w:pPr>
        <w:spacing w:beforeLines="0" w:afterLines="0" w:line="560" w:lineRule="exact"/>
        <w:ind w:firstLine="632"/>
        <w:rPr>
          <w:rFonts w:ascii="黑体" w:hAnsi="黑体" w:eastAsia="黑体"/>
        </w:rPr>
      </w:pPr>
      <w:r>
        <w:rPr>
          <w:rFonts w:hint="eastAsia" w:ascii="黑体" w:hAnsi="黑体" w:eastAsia="黑体"/>
        </w:rPr>
        <w:t>十、关于“执行选人用人制度不严肃，部分批次民主推荐搞变通”问题的整改情况</w:t>
      </w:r>
    </w:p>
    <w:p>
      <w:pPr>
        <w:spacing w:beforeLines="0" w:afterLines="0" w:line="560" w:lineRule="exact"/>
        <w:ind w:firstLine="632"/>
      </w:pPr>
      <w:r>
        <w:rPr>
          <w:rFonts w:hint="eastAsia" w:ascii="楷体_GB2312" w:hAnsi="楷体_GB2312" w:eastAsia="楷体_GB2312"/>
        </w:rPr>
        <w:t>（一）建章筑基，修订完善制度。</w:t>
      </w:r>
      <w:r>
        <w:rPr>
          <w:rFonts w:hint="eastAsia"/>
        </w:rPr>
        <w:t>根据巡视反馈意见，认真学习贯彻《党政领导干部选拔任用工作条例》等党内法规以及浙江省选拔任用党政领导干部“五个办法”的规定，修订出台《中层干部选拔任用管理办法》，进一步明确分析研判和动议、民主推荐、考察、讨论决定、任职等干部选拔任用全过程各环节的工作程序和办法。</w:t>
      </w:r>
    </w:p>
    <w:p>
      <w:pPr>
        <w:spacing w:beforeLines="0" w:afterLines="0" w:line="560" w:lineRule="exact"/>
        <w:ind w:firstLine="632"/>
      </w:pPr>
      <w:r>
        <w:rPr>
          <w:rFonts w:hint="eastAsia" w:ascii="楷体_GB2312" w:hAnsi="楷体_GB2312" w:eastAsia="楷体_GB2312"/>
        </w:rPr>
        <w:t>（二）规范程序，严格执行制度。</w:t>
      </w:r>
      <w:r>
        <w:rPr>
          <w:rFonts w:hint="eastAsia"/>
        </w:rPr>
        <w:t>切实抓好干部选拔任用各个环节工作，进一步规范干部选拔任用工作程序，严格执行《中层干部选拔任用管理办法》，从严掌握破格条件，严格按照规定，统一、明确、规范年龄条件。加强选人用人工作的严肃性，努力营造风清气正的选人用人环境。</w:t>
      </w:r>
    </w:p>
    <w:p>
      <w:pPr>
        <w:spacing w:beforeLines="0" w:afterLines="0" w:line="560" w:lineRule="exact"/>
        <w:ind w:firstLine="632"/>
        <w:rPr>
          <w:rFonts w:ascii="黑体" w:hAnsi="黑体" w:eastAsia="黑体"/>
        </w:rPr>
      </w:pPr>
      <w:r>
        <w:rPr>
          <w:rFonts w:hint="eastAsia" w:ascii="黑体" w:hAnsi="黑体" w:eastAsia="黑体"/>
        </w:rPr>
        <w:t>十一、关于“党管人才工作不够有力”问题的整改情况</w:t>
      </w:r>
    </w:p>
    <w:p>
      <w:pPr>
        <w:spacing w:beforeLines="0" w:afterLines="0" w:line="560" w:lineRule="exact"/>
        <w:ind w:firstLine="632"/>
      </w:pPr>
      <w:r>
        <w:rPr>
          <w:rFonts w:hint="eastAsia" w:ascii="楷体_GB2312" w:hAnsi="楷体_GB2312" w:eastAsia="楷体_GB2312"/>
        </w:rPr>
        <w:t>（一）加强顶层设计。</w:t>
      </w:r>
      <w:r>
        <w:rPr>
          <w:rFonts w:hint="eastAsia"/>
        </w:rPr>
        <w:t>着眼百年大计，立足学校战略目标，加强对干部人才队伍建设的前瞻性考虑、战略性谋划，完善党委研究干部人才工作机制。制定《干部队伍建设规划（2022-2025年）》《“十四五”师资队伍建设发展规划》，提出破解干部人才队伍建设薄弱环节、完善工作体系的具体目标和工作举措，健全干部人才选育长效机制。成立学科建设委员会，充分发挥其在人才规划、引进、培育、评价中的重要作用。成立人才工作办公室，召开人才工作专题干部读书会，研究人才工作机制，为学校高层次人才引进和师资队伍建设出谋划策。</w:t>
      </w:r>
    </w:p>
    <w:p>
      <w:pPr>
        <w:spacing w:beforeLines="0" w:afterLines="0" w:line="560" w:lineRule="exact"/>
        <w:ind w:firstLine="632"/>
      </w:pPr>
      <w:r>
        <w:rPr>
          <w:rFonts w:hint="eastAsia" w:ascii="楷体_GB2312" w:hAnsi="楷体_GB2312" w:eastAsia="楷体_GB2312"/>
        </w:rPr>
        <w:t>（二）夯实体制机制。</w:t>
      </w:r>
      <w:r>
        <w:rPr>
          <w:rFonts w:hint="eastAsia"/>
        </w:rPr>
        <w:t>以“一体系三机制”为牵引，对标《高校选人用人高质量发展指标体系》，加强干部工作、人才工作研究，制定出台《中层干部选拔任用管理办法》《中层领导干部聘任制工作实施办法（试行）》《关于引进人才的若干规定》《“领航人才支持计划”实施办法（修订）》《教学岗位公开招聘相关工作实施细则》等20多项制度，进一步规范干部选任、人才招聘、职称评聘工作程序，健全干部选育管用、人才引育工作机制，推进学校干部人才工作提质增量。落实二级单位主体责任，精准把握不同学科专业的人才需求，推动人才工作不断落细落实。</w:t>
      </w:r>
    </w:p>
    <w:p>
      <w:pPr>
        <w:spacing w:beforeLines="0" w:afterLines="0" w:line="560" w:lineRule="exact"/>
        <w:ind w:firstLine="632"/>
      </w:pPr>
      <w:r>
        <w:rPr>
          <w:rFonts w:hint="eastAsia" w:ascii="楷体_GB2312" w:hAnsi="楷体_GB2312" w:eastAsia="楷体_GB2312"/>
        </w:rPr>
        <w:t>（三）加大人才引育力度。</w:t>
      </w:r>
      <w:r>
        <w:rPr>
          <w:rFonts w:hint="eastAsia"/>
        </w:rPr>
        <w:t>夯实人才高地，加大高层次人才引进力度，实现人才总量、质量有序提高。加大传统优势学科储备人才的引进力度，加大校外跨学科、新兴学科顶尖人才的引进力度，加大艺术+科技创新团队的引进力度。人才办派专员负责相关人才的政治把关、对接、服务、培育工作。2022年上半年通过全职聘用等方式，引进国务院设计学科评议组召集人吕品田等高层次人才</w:t>
      </w:r>
      <w:r>
        <w:t>6</w:t>
      </w:r>
      <w:r>
        <w:rPr>
          <w:rFonts w:hint="eastAsia"/>
        </w:rPr>
        <w:t>人。持续开展新型学科、交叉学科博士后的引入，通过多个媒体平台发布招收公告，吸引多学科、多类型的广大科研学者加入。</w:t>
      </w:r>
    </w:p>
    <w:p>
      <w:pPr>
        <w:spacing w:beforeLines="0" w:afterLines="0" w:line="560" w:lineRule="exact"/>
        <w:ind w:firstLine="632"/>
      </w:pPr>
      <w:r>
        <w:rPr>
          <w:rFonts w:hint="eastAsia" w:ascii="楷体_GB2312" w:hAnsi="楷体_GB2312" w:eastAsia="楷体_GB2312"/>
        </w:rPr>
        <w:t>（四）优化学缘结构。</w:t>
      </w:r>
      <w:r>
        <w:rPr>
          <w:rFonts w:hint="eastAsia"/>
        </w:rPr>
        <w:t>努力拓宽人才入口，加强人才招聘引进宣传，提升人才的数量和质量。夯实二级学院用人主体责任，各二级学院建立明确的用人计划和工作重点，将优化学缘结构作为重要的选人导向，形成学校统筹、学科把关、学院主责常态。2022年度特殊专业技术岗位公开招聘公告已发布，着重引进艺科融合专业方向、交叉学科岗位的人才，优化学缘结构，加大引进具有国际化背景的专业技术人才。</w:t>
      </w:r>
    </w:p>
    <w:p>
      <w:pPr>
        <w:spacing w:beforeLines="0" w:afterLines="0" w:line="560" w:lineRule="exact"/>
        <w:ind w:firstLine="632"/>
        <w:rPr>
          <w:rFonts w:ascii="黑体" w:hAnsi="黑体" w:eastAsia="黑体"/>
        </w:rPr>
      </w:pPr>
      <w:r>
        <w:rPr>
          <w:rFonts w:hint="eastAsia" w:ascii="黑体" w:hAnsi="黑体" w:eastAsia="黑体"/>
        </w:rPr>
        <w:t>十二、关于“对教职工日常监督管理不够严格”问题的整改情况</w:t>
      </w:r>
    </w:p>
    <w:p>
      <w:pPr>
        <w:spacing w:beforeLines="0" w:afterLines="0" w:line="560" w:lineRule="exact"/>
        <w:ind w:firstLine="632"/>
      </w:pPr>
      <w:r>
        <w:rPr>
          <w:rFonts w:hint="eastAsia" w:ascii="楷体_GB2312" w:hAnsi="楷体_GB2312" w:eastAsia="楷体_GB2312"/>
        </w:rPr>
        <w:t>（一）层层压实责任，建立长效机制。</w:t>
      </w:r>
      <w:r>
        <w:rPr>
          <w:rFonts w:hint="eastAsia"/>
        </w:rPr>
        <w:t>深入分析研判，实行分类管理，修订完善《中国美术学院教职工因私出国（境）管理规定》等一系列制度，充分考虑艺术类专业教师国际化交流的实际需求，以制度规范、理顺因私出国（境）管理。加强制度宣讲，严明工作纪律，规范审批流程，真正做到有制度必依。压实二级单位责任，明确二级学院主要领导为第一责任人、分管领导负主要责任，提高思想认识，重视审批管理和纪律监督。利用数字化平台，实时掌握动态数据，规范教职工因私出国（境）请假手续。</w:t>
      </w:r>
    </w:p>
    <w:p>
      <w:pPr>
        <w:spacing w:beforeLines="0" w:afterLines="0" w:line="560" w:lineRule="exact"/>
        <w:ind w:firstLine="632"/>
        <w:rPr>
          <w:rFonts w:ascii="楷体_GB2312" w:hAnsi="楷体_GB2312" w:eastAsia="楷体_GB2312"/>
        </w:rPr>
      </w:pPr>
      <w:r>
        <w:rPr>
          <w:rFonts w:hint="eastAsia" w:ascii="楷体_GB2312" w:hAnsi="楷体_GB2312" w:eastAsia="楷体_GB2312"/>
        </w:rPr>
        <w:t>（二）全面排查清理，严格兼职管理。</w:t>
      </w:r>
      <w:r>
        <w:rPr>
          <w:rFonts w:hint="eastAsia"/>
        </w:rPr>
        <w:t>召开专题会议，开展中层干部兼职情况报告，对超届数、超年限的干部兼职情况进行全面排查、梳理。制订《中层领导干部兼职管理办法（试行）》，进一步明确中层干部兼职的个数、届数、报批程序等方面内容。从学校学科专业特点、学科地位和发展需要考虑，对领导干部尤其专业型干部超届数、超年限的兼职进行综合研判和分类管理，对有利于学科发展的兼职，经党委研究同意继续兼任，对其余兼职制订限时清理计划。加强政策宣传和执行力度，推进兼职申报系统功能更新升级，进一步规范兼职报批程序、强化管理效能。</w:t>
      </w:r>
    </w:p>
    <w:p>
      <w:pPr>
        <w:spacing w:beforeLines="0" w:afterLines="0" w:line="560" w:lineRule="exact"/>
        <w:ind w:firstLine="632"/>
        <w:rPr>
          <w:rFonts w:ascii="黑体" w:hAnsi="黑体" w:eastAsia="黑体"/>
        </w:rPr>
      </w:pPr>
      <w:r>
        <w:rPr>
          <w:rFonts w:hint="eastAsia" w:ascii="黑体" w:hAnsi="黑体" w:eastAsia="黑体"/>
        </w:rPr>
        <w:t>十三、关于“抓基层党建工作不够有力”问题的整改情况</w:t>
      </w:r>
    </w:p>
    <w:p>
      <w:pPr>
        <w:spacing w:beforeLines="0" w:afterLines="0" w:line="560" w:lineRule="exact"/>
        <w:ind w:firstLine="632"/>
      </w:pPr>
      <w:r>
        <w:rPr>
          <w:rFonts w:hint="eastAsia" w:ascii="楷体_GB2312" w:hAnsi="楷体_GB2312" w:eastAsia="楷体_GB2312"/>
        </w:rPr>
        <w:t>（一）严格落实领导干部双重组织生活制度。</w:t>
      </w:r>
      <w:r>
        <w:rPr>
          <w:rFonts w:hint="eastAsia"/>
        </w:rPr>
        <w:t>切实提高思想认识，学校领导干部加强学习《关于新形势下党内政治生活的若干准则》《县以上党和国家机关党员领导干部民主生活会若干规定》，严格落实双重组织生活制度，将校领导班子成员参加双重组织生活计划列入日程安排。健全学校领导班子成员联系二级党组织、党支部工作机制。</w:t>
      </w:r>
    </w:p>
    <w:p>
      <w:pPr>
        <w:spacing w:beforeLines="0" w:afterLines="0" w:line="560" w:lineRule="exact"/>
        <w:ind w:firstLine="632"/>
      </w:pPr>
      <w:r>
        <w:rPr>
          <w:rFonts w:hint="eastAsia" w:ascii="楷体_GB2312" w:hAnsi="楷体_GB2312" w:eastAsia="楷体_GB2312"/>
        </w:rPr>
        <w:t>（二）强化基层党建标准化建设。</w:t>
      </w:r>
      <w:r>
        <w:rPr>
          <w:rFonts w:hint="eastAsia"/>
        </w:rPr>
        <w:t>加强对基层党建工作的研究，实施“基层党组织标准化建设年”行动。各级党组织对标《高校院（系）级单位党组织建设标准》《高校基层党支部建设标准》，对议事规则执行、党员发展、“三会一课”、主题党日等组织生活开展情况进行全面自查，补齐短板。</w:t>
      </w:r>
    </w:p>
    <w:p>
      <w:pPr>
        <w:spacing w:beforeLines="0" w:afterLines="0" w:line="560" w:lineRule="exact"/>
        <w:ind w:firstLine="632"/>
      </w:pPr>
      <w:r>
        <w:rPr>
          <w:rFonts w:hint="eastAsia" w:ascii="楷体_GB2312" w:hAnsi="楷体_GB2312" w:eastAsia="楷体_GB2312"/>
        </w:rPr>
        <w:t>（三）夯实二级党组织建设。</w:t>
      </w:r>
      <w:r>
        <w:rPr>
          <w:rFonts w:hint="eastAsia"/>
        </w:rPr>
        <w:t>学校党委派出督导组指导、检查二级学院议事规则落实情况，现场指出问题，提出整改意见，督促二级学院规范执行党组织会议和党政联席会议议事规则，进一步健全集体领导、党政分工合作、协调运行的工作机制。已配齐二级学院党委书记。逐步优化二级学院班子结构尤其是班子成员中的党员比例，确保二级学院党组织会议和党政联席会议议事规则的规范执行。</w:t>
      </w:r>
    </w:p>
    <w:p>
      <w:pPr>
        <w:spacing w:beforeLines="0" w:afterLines="0" w:line="560" w:lineRule="exact"/>
        <w:ind w:firstLine="632"/>
      </w:pPr>
      <w:r>
        <w:rPr>
          <w:rFonts w:hint="eastAsia" w:ascii="楷体_GB2312" w:hAnsi="楷体_GB2312" w:eastAsia="楷体_GB2312"/>
        </w:rPr>
        <w:t>（四）高质量开展党建“双创”培育。</w:t>
      </w:r>
      <w:r>
        <w:rPr>
          <w:rFonts w:hint="eastAsia"/>
        </w:rPr>
        <w:t>2022年，学校党委入选第三批全国党建示范高校培育创建单位，1个二级学院党委、2个支部入选全省第二批党建双创培育创建单位。制订《深化“全国党建示范高校”创建工作实施方案》，持续推进全国、全省党建双创的培育创建和验收工作，加强总结宣传，完成全国第二批、全省第一批党建双创培育创建单位验收工作。做好校内首批党建“双创”样板支部及“双带头人”教师党支部书记工作室的中期评估工作，做好全省第二批研究生“双百”培育创建工作。</w:t>
      </w:r>
    </w:p>
    <w:p>
      <w:pPr>
        <w:spacing w:beforeLines="0" w:afterLines="0" w:line="560" w:lineRule="exact"/>
        <w:ind w:firstLine="632"/>
      </w:pPr>
      <w:r>
        <w:rPr>
          <w:rFonts w:hint="eastAsia" w:ascii="楷体_GB2312" w:hAnsi="楷体_GB2312" w:eastAsia="楷体_GB2312"/>
        </w:rPr>
        <w:t>（五）推进党员人才工程。</w:t>
      </w:r>
      <w:r>
        <w:rPr>
          <w:rFonts w:hint="eastAsia"/>
        </w:rPr>
        <w:t xml:space="preserve">系统梳理近年来教职工党员发展情况，完成《2016-2021年专业教师党员发展情况》《党的十九大以来学校高层次人才党员发展现状》报告。对近年来“零发展”“少发展”的党组织进行摸排、分析原因、约谈提醒，督促二级党组织制订工作计划，切实加强教工党员发展工作。遵循高知群体和青年教师思想成长发展规律，有针对性地制订培养教育措施，探索建立把骨干教师培养成党员，把党员教师培养成教学、科研、管理骨干的“双培养”机制。加强对高知群体的政治引领和政治吸纳，完善校领导联系教师入党积极分子、党支部、高知群体工作机制，进一步提升教师党员发展工作质量和水平。 </w:t>
      </w:r>
    </w:p>
    <w:p>
      <w:pPr>
        <w:spacing w:beforeLines="0" w:afterLines="0" w:line="560" w:lineRule="exact"/>
        <w:ind w:firstLine="632"/>
      </w:pPr>
      <w:r>
        <w:rPr>
          <w:rFonts w:hint="eastAsia" w:ascii="楷体_GB2312" w:hAnsi="楷体_GB2312" w:eastAsia="楷体_GB2312"/>
        </w:rPr>
        <w:t>（六）规范党员发展工作。</w:t>
      </w:r>
      <w:r>
        <w:rPr>
          <w:rFonts w:hint="eastAsia"/>
        </w:rPr>
        <w:t>修订《党员发展工作实施办法》，制定党员发展工作质量自评体系，健全发展党员工作机制，规范党员发展全过程各环节工作。开展党员发展工作专题培训和宣讲，提升党务干部业务能力，提高党员发展工作制度化规范化水平。加强指导和监督，党委分管领导带队对二级党组织近三年党员发展工作和材料进行全覆盖检查、指导，提出问题，加强培训，压实责任，督促整改。</w:t>
      </w:r>
    </w:p>
    <w:p>
      <w:pPr>
        <w:spacing w:beforeLines="0" w:afterLines="0" w:line="560" w:lineRule="exact"/>
        <w:ind w:firstLine="632"/>
      </w:pPr>
      <w:r>
        <w:rPr>
          <w:rFonts w:hint="eastAsia" w:ascii="楷体_GB2312" w:hAnsi="楷体_GB2312" w:eastAsia="楷体_GB2312"/>
        </w:rPr>
        <w:t>（七）加强党员教育管理。</w:t>
      </w:r>
      <w:r>
        <w:rPr>
          <w:rFonts w:hint="eastAsia"/>
        </w:rPr>
        <w:t>落实“两学一做”学习教育常态化制度化，巩固拓展党史学习教育成果，强化党员身份意识，加强党性教育。加快建设党校和精品党课，推荐报送微型党课，1人获第八届省微型党课大赛（美术组）三等奖、全省高校微型党课大赛二等奖；开展“人人讲党课 党课开讲啦”活动，推荐3个作品至教育厅。持续推进党建品牌建设，发挥专业优势，开展“先锋号角”“红设东方”等一系列校院两级党建品牌活动，引领师生党员充分发挥先锋模范作用。</w:t>
      </w:r>
    </w:p>
    <w:p>
      <w:pPr>
        <w:spacing w:beforeLines="0" w:afterLines="0" w:line="560" w:lineRule="exact"/>
        <w:ind w:firstLine="632"/>
        <w:rPr>
          <w:rFonts w:ascii="黑体" w:hAnsi="黑体" w:eastAsia="黑体"/>
        </w:rPr>
      </w:pPr>
      <w:r>
        <w:rPr>
          <w:rFonts w:hint="eastAsia" w:ascii="黑体" w:hAnsi="黑体" w:eastAsia="黑体"/>
        </w:rPr>
        <w:t>十四、关于“巡视、审计发现问题未整改到位”问题的整改情况</w:t>
      </w:r>
    </w:p>
    <w:p>
      <w:pPr>
        <w:spacing w:beforeLines="0" w:afterLines="0" w:line="560" w:lineRule="exact"/>
        <w:ind w:firstLine="632"/>
      </w:pPr>
      <w:r>
        <w:rPr>
          <w:rFonts w:hint="eastAsia"/>
        </w:rPr>
        <w:t>成立以党委书记为组长的“上一轮巡视、审计未整改到位问题整改专班”，每月专题听取汇报并研究推进工作。积极协调沟通，争取上级有关部门指导和支持，针对性制定整改方案与时间表。强化常态化监督，建立“一月一报告，一季一汇总”跟踪督办机制。</w:t>
      </w:r>
    </w:p>
    <w:p>
      <w:pPr>
        <w:keepNext w:val="0"/>
        <w:keepLines w:val="0"/>
        <w:pageBreakBefore w:val="0"/>
        <w:widowControl/>
        <w:kinsoku/>
        <w:overflowPunct/>
        <w:topLinePunct w:val="0"/>
        <w:autoSpaceDE/>
        <w:autoSpaceDN/>
        <w:bidi w:val="0"/>
        <w:adjustRightInd/>
        <w:snapToGrid/>
        <w:spacing w:beforeLines="0" w:afterLines="0" w:line="580" w:lineRule="exact"/>
        <w:ind w:firstLine="632"/>
        <w:textAlignment w:val="auto"/>
      </w:pPr>
      <w:r>
        <w:rPr>
          <w:rFonts w:hint="eastAsia"/>
        </w:rPr>
        <w:t>下一步，中国美术学院党委将深入贯彻习近平新时代中国特色社会主义思想，认真落实中央和省委关于做好巡视“后半篇文章”的要求，持续抓好巡视反馈意见的整改落实。</w:t>
      </w:r>
      <w:r>
        <w:rPr>
          <w:rFonts w:hint="eastAsia" w:ascii="黑体" w:hAnsi="黑体" w:eastAsia="黑体"/>
        </w:rPr>
        <w:t>一是坚持“两个维护”，进一步提高政治站位。</w:t>
      </w:r>
      <w:r>
        <w:rPr>
          <w:rFonts w:hint="eastAsia"/>
        </w:rPr>
        <w:t>坚持扎根中国大地，切实担负起办好中国特色社会主义大学的政治责任，认真学习贯彻习近平总书记关于巡视和教育工作、文艺工作的系列重要论述，深入贯彻落实习近平总书记对中国美术学院工作和发展的指示批示精神，切实增强政治判断力、政治领悟力、政治执行力，在建设中国特色世界一流大学上迈出更加坚实的步伐。</w:t>
      </w:r>
      <w:r>
        <w:rPr>
          <w:rFonts w:hint="eastAsia" w:ascii="黑体" w:hAnsi="黑体" w:eastAsia="黑体"/>
        </w:rPr>
        <w:t>二是坚持举一反三，进一步健全长效机制。</w:t>
      </w:r>
      <w:r>
        <w:rPr>
          <w:rFonts w:hint="eastAsia"/>
        </w:rPr>
        <w:t>强化责任担当，从严从实、动真碰硬，着力盯紧抓实成果落地，确保问题清零见底。对已经完成的整改措施和取得阶段性成果的整改事项，将抓好延伸拓展，适时组织开展再督查再核实，坚决防止问题反弹回潮。</w:t>
      </w:r>
      <w:r>
        <w:rPr>
          <w:rFonts w:hint="eastAsia" w:ascii="黑体" w:hAnsi="黑体" w:eastAsia="黑体"/>
        </w:rPr>
        <w:t>三是坚持以巡促建，进一步加强内涵建设。</w:t>
      </w:r>
      <w:r>
        <w:rPr>
          <w:rFonts w:hint="eastAsia"/>
        </w:rPr>
        <w:t>坚持立德树人根本任务，将巡视整改落实到推动上级重大决策部署在学校落地生根上，落实到学校全面从严治党和“清廉国美”建设的成效上，落实到高质量内涵式发展上，为建成“体现中国文化艺术研究和教学最高水平的世界一流美术学院”提供坚强政治保障，为浙江高质量发展建设共同富裕示范区做出国美贡献，努力成为“重要窗口”独具韵味的金名片，以优异成绩迎接党的二十大胜利召开。</w:t>
      </w:r>
    </w:p>
    <w:p>
      <w:pPr>
        <w:keepNext w:val="0"/>
        <w:keepLines w:val="0"/>
        <w:pageBreakBefore w:val="0"/>
        <w:widowControl/>
        <w:kinsoku/>
        <w:overflowPunct/>
        <w:topLinePunct w:val="0"/>
        <w:autoSpaceDE/>
        <w:autoSpaceDN/>
        <w:bidi w:val="0"/>
        <w:adjustRightInd/>
        <w:snapToGrid/>
        <w:spacing w:beforeLines="0" w:afterLines="0" w:line="580" w:lineRule="exact"/>
        <w:ind w:firstLine="632"/>
        <w:textAlignment w:val="auto"/>
        <w:rPr>
          <w:rFonts w:hint="default"/>
        </w:rPr>
      </w:pPr>
      <w:r>
        <w:rPr>
          <w:rFonts w:hint="eastAsia"/>
        </w:rPr>
        <w:t>欢迎广大干部群众对巡视整改落实情况进行监督。如有意见建议，请及时向我们反映。联系方式：电话0571-87164609；邮政信箱：杭州市上城区南山路218号中国美术学院办公室，电子邮箱dyb@caa.edu.cn</w:t>
      </w:r>
      <w:r>
        <w:rPr>
          <w:rFonts w:hint="default"/>
        </w:rPr>
        <w:t>。</w:t>
      </w:r>
    </w:p>
    <w:p>
      <w:pPr>
        <w:keepNext w:val="0"/>
        <w:keepLines w:val="0"/>
        <w:pageBreakBefore w:val="0"/>
        <w:widowControl/>
        <w:kinsoku/>
        <w:overflowPunct/>
        <w:topLinePunct w:val="0"/>
        <w:autoSpaceDE/>
        <w:autoSpaceDN/>
        <w:bidi w:val="0"/>
        <w:adjustRightInd/>
        <w:snapToGrid/>
        <w:spacing w:beforeLines="0" w:afterLines="0" w:line="580" w:lineRule="exact"/>
        <w:ind w:firstLine="632"/>
        <w:textAlignment w:val="auto"/>
        <w:rPr>
          <w:rFonts w:hint="eastAsia"/>
        </w:rPr>
      </w:pPr>
    </w:p>
    <w:p>
      <w:pPr>
        <w:keepNext w:val="0"/>
        <w:keepLines w:val="0"/>
        <w:pageBreakBefore w:val="0"/>
        <w:widowControl/>
        <w:kinsoku/>
        <w:overflowPunct/>
        <w:topLinePunct w:val="0"/>
        <w:autoSpaceDE/>
        <w:autoSpaceDN/>
        <w:bidi w:val="0"/>
        <w:adjustRightInd/>
        <w:snapToGrid/>
        <w:spacing w:beforeLines="0" w:afterLines="0" w:line="580" w:lineRule="exact"/>
        <w:ind w:firstLine="632"/>
        <w:textAlignment w:val="auto"/>
      </w:pPr>
    </w:p>
    <w:p>
      <w:pPr>
        <w:keepNext w:val="0"/>
        <w:keepLines w:val="0"/>
        <w:pageBreakBefore w:val="0"/>
        <w:widowControl/>
        <w:kinsoku/>
        <w:wordWrap w:val="0"/>
        <w:overflowPunct/>
        <w:topLinePunct w:val="0"/>
        <w:autoSpaceDE/>
        <w:autoSpaceDN/>
        <w:bidi w:val="0"/>
        <w:adjustRightInd/>
        <w:snapToGrid/>
        <w:spacing w:beforeLines="0" w:afterLines="0" w:line="580" w:lineRule="exact"/>
        <w:ind w:firstLine="632"/>
        <w:jc w:val="right"/>
        <w:textAlignment w:val="auto"/>
      </w:pPr>
      <w:r>
        <w:rPr>
          <w:rFonts w:hint="eastAsia"/>
        </w:rPr>
        <w:t xml:space="preserve">中共中国美术学院委员会 </w:t>
      </w:r>
      <w:r>
        <w:t xml:space="preserve">    </w:t>
      </w:r>
    </w:p>
    <w:p>
      <w:pPr>
        <w:keepNext w:val="0"/>
        <w:keepLines w:val="0"/>
        <w:pageBreakBefore w:val="0"/>
        <w:widowControl/>
        <w:kinsoku/>
        <w:wordWrap w:val="0"/>
        <w:overflowPunct/>
        <w:topLinePunct w:val="0"/>
        <w:autoSpaceDE/>
        <w:autoSpaceDN/>
        <w:bidi w:val="0"/>
        <w:adjustRightInd/>
        <w:snapToGrid/>
        <w:spacing w:beforeLines="0" w:afterLines="0" w:line="580" w:lineRule="exact"/>
        <w:ind w:firstLine="632"/>
        <w:jc w:val="right"/>
        <w:textAlignment w:val="auto"/>
      </w:pPr>
      <w:r>
        <w:rPr>
          <w:rFonts w:hint="eastAsia"/>
        </w:rPr>
        <w:t>2022年</w:t>
      </w:r>
      <w:r>
        <w:rPr>
          <w:rFonts w:hint="eastAsia"/>
          <w:lang w:val="en-US" w:eastAsia="zh-CN"/>
        </w:rPr>
        <w:t>7</w:t>
      </w:r>
      <w:r>
        <w:rPr>
          <w:rFonts w:hint="eastAsia"/>
        </w:rPr>
        <w:t>月</w:t>
      </w:r>
      <w:r>
        <w:rPr>
          <w:rFonts w:hint="default"/>
          <w:lang w:eastAsia="zh-CN"/>
        </w:rPr>
        <w:t>19</w:t>
      </w:r>
      <w:r>
        <w:rPr>
          <w:rFonts w:hint="eastAsia"/>
        </w:rPr>
        <w:t xml:space="preserve">日 </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98" w:left="1588" w:header="851" w:footer="1417" w:gutter="0"/>
      <w:pgNumType w:fmt="decimal"/>
      <w:cols w:space="0" w:num="1"/>
      <w:rtlGutter w:val="0"/>
      <w:docGrid w:type="linesAndChars" w:linePitch="56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69BC8-624F-417C-B253-EABF9DDAD9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embedRegular r:id="rId2" w:fontKey="{22380D5F-DAF4-47B1-A03E-386D97521676}"/>
  </w:font>
  <w:font w:name="仿宋_GB2312">
    <w:altName w:val="仿宋"/>
    <w:panose1 w:val="02010609030101010101"/>
    <w:charset w:val="86"/>
    <w:family w:val="modern"/>
    <w:pitch w:val="default"/>
    <w:sig w:usb0="00000000" w:usb1="00000000" w:usb2="00000000" w:usb3="00000000" w:csb0="00040000" w:csb1="00000000"/>
    <w:embedRegular r:id="rId3" w:fontKey="{FC7D583E-BC3E-4B1D-AFC0-581B499B305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1DE54965-9F93-431C-B0DD-394D2CD5AF73}"/>
  </w:font>
  <w:font w:name="楷体_GB2312">
    <w:altName w:val="楷体"/>
    <w:panose1 w:val="02010609030101010101"/>
    <w:charset w:val="86"/>
    <w:family w:val="modern"/>
    <w:pitch w:val="default"/>
    <w:sig w:usb0="00000000" w:usb1="00000000" w:usb2="00000000" w:usb3="00000000" w:csb0="00040000" w:csb1="00000000"/>
    <w:embedRegular r:id="rId5" w:fontKey="{3E7ACDF0-AD53-4923-969C-BE01E60558D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5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rPr>
                              <w:rStyle w:val="7"/>
                              <w:rFonts w:ascii="宋体" w:hAnsi="宋体" w:eastAsia="宋体"/>
                              <w:sz w:val="28"/>
                              <w:szCs w:val="28"/>
                            </w:rPr>
                          </w:pPr>
                          <w:r>
                            <w:rPr>
                              <w:rStyle w:val="7"/>
                              <w:rFonts w:ascii="宋体" w:hAnsi="宋体" w:eastAsia="宋体"/>
                              <w:sz w:val="28"/>
                              <w:szCs w:val="28"/>
                            </w:rPr>
                            <w:t xml:space="preserve">— </w:t>
                          </w:r>
                          <w:sdt>
                            <w:sdtPr>
                              <w:rPr>
                                <w:rStyle w:val="7"/>
                                <w:rFonts w:ascii="宋体" w:hAnsi="宋体" w:eastAsia="宋体"/>
                                <w:sz w:val="28"/>
                                <w:szCs w:val="28"/>
                              </w:rPr>
                              <w:id w:val="-1071972907"/>
                            </w:sdtPr>
                            <w:sdtEndPr>
                              <w:rPr>
                                <w:rStyle w:val="7"/>
                                <w:rFonts w:ascii="宋体" w:hAnsi="宋体" w:eastAsia="宋体"/>
                                <w:sz w:val="28"/>
                                <w:szCs w:val="28"/>
                              </w:rPr>
                            </w:sdtEndPr>
                            <w:sdtContent>
                              <w:r>
                                <w:rPr>
                                  <w:rStyle w:val="7"/>
                                  <w:rFonts w:ascii="宋体" w:hAnsi="宋体" w:eastAsia="宋体"/>
                                  <w:sz w:val="28"/>
                                  <w:szCs w:val="28"/>
                                </w:rPr>
                                <w:fldChar w:fldCharType="begin"/>
                              </w:r>
                              <w:r>
                                <w:rPr>
                                  <w:rStyle w:val="7"/>
                                  <w:rFonts w:ascii="宋体" w:hAnsi="宋体" w:eastAsia="宋体"/>
                                  <w:sz w:val="28"/>
                                  <w:szCs w:val="28"/>
                                </w:rPr>
                                <w:instrText xml:space="preserve"> 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ascii="宋体" w:hAnsi="宋体" w:eastAsia="宋体"/>
                                  <w:sz w:val="28"/>
                                  <w:szCs w:val="28"/>
                                </w:rPr>
                                <w:t xml:space="preserve"> —</w:t>
                              </w:r>
                            </w:sdtContent>
                          </w:sdt>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ind w:firstLine="0" w:firstLineChars="0"/>
                      <w:rPr>
                        <w:rStyle w:val="7"/>
                        <w:rFonts w:ascii="宋体" w:hAnsi="宋体" w:eastAsia="宋体"/>
                        <w:sz w:val="28"/>
                        <w:szCs w:val="28"/>
                      </w:rPr>
                    </w:pPr>
                    <w:r>
                      <w:rPr>
                        <w:rStyle w:val="7"/>
                        <w:rFonts w:ascii="宋体" w:hAnsi="宋体" w:eastAsia="宋体"/>
                        <w:sz w:val="28"/>
                        <w:szCs w:val="28"/>
                      </w:rPr>
                      <w:t xml:space="preserve">— </w:t>
                    </w:r>
                    <w:sdt>
                      <w:sdtPr>
                        <w:rPr>
                          <w:rStyle w:val="7"/>
                          <w:rFonts w:ascii="宋体" w:hAnsi="宋体" w:eastAsia="宋体"/>
                          <w:sz w:val="28"/>
                          <w:szCs w:val="28"/>
                        </w:rPr>
                        <w:id w:val="-1071972907"/>
                      </w:sdtPr>
                      <w:sdtEndPr>
                        <w:rPr>
                          <w:rStyle w:val="7"/>
                          <w:rFonts w:ascii="宋体" w:hAnsi="宋体" w:eastAsia="宋体"/>
                          <w:sz w:val="28"/>
                          <w:szCs w:val="28"/>
                        </w:rPr>
                      </w:sdtEndPr>
                      <w:sdtContent>
                        <w:r>
                          <w:rPr>
                            <w:rStyle w:val="7"/>
                            <w:rFonts w:ascii="宋体" w:hAnsi="宋体" w:eastAsia="宋体"/>
                            <w:sz w:val="28"/>
                            <w:szCs w:val="28"/>
                          </w:rPr>
                          <w:fldChar w:fldCharType="begin"/>
                        </w:r>
                        <w:r>
                          <w:rPr>
                            <w:rStyle w:val="7"/>
                            <w:rFonts w:ascii="宋体" w:hAnsi="宋体" w:eastAsia="宋体"/>
                            <w:sz w:val="28"/>
                            <w:szCs w:val="28"/>
                          </w:rPr>
                          <w:instrText xml:space="preserve"> 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ascii="宋体" w:hAnsi="宋体" w:eastAsia="宋体"/>
                            <w:sz w:val="28"/>
                            <w:szCs w:val="28"/>
                          </w:rPr>
                          <w:t xml:space="preserve"> —</w:t>
                        </w:r>
                      </w:sdtContent>
                    </w:sdt>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56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rPr>
                              <w:rStyle w:val="7"/>
                              <w:rFonts w:ascii="宋体" w:hAnsi="宋体" w:eastAsia="宋体"/>
                              <w:sz w:val="28"/>
                              <w:szCs w:val="28"/>
                            </w:rPr>
                          </w:pPr>
                          <w:r>
                            <w:rPr>
                              <w:rStyle w:val="7"/>
                              <w:rFonts w:ascii="宋体" w:hAnsi="宋体" w:eastAsia="宋体"/>
                              <w:sz w:val="28"/>
                              <w:szCs w:val="28"/>
                            </w:rPr>
                            <w:t xml:space="preserve">— </w:t>
                          </w:r>
                          <w:sdt>
                            <w:sdtPr>
                              <w:rPr>
                                <w:rStyle w:val="7"/>
                                <w:rFonts w:ascii="宋体" w:hAnsi="宋体" w:eastAsia="宋体"/>
                                <w:sz w:val="28"/>
                                <w:szCs w:val="28"/>
                              </w:rPr>
                              <w:id w:val="-113992536"/>
                            </w:sdtPr>
                            <w:sdtEndPr>
                              <w:rPr>
                                <w:rStyle w:val="7"/>
                                <w:rFonts w:ascii="宋体" w:hAnsi="宋体" w:eastAsia="宋体"/>
                                <w:sz w:val="28"/>
                                <w:szCs w:val="28"/>
                              </w:rPr>
                            </w:sdtEndPr>
                            <w:sdtContent>
                              <w:r>
                                <w:rPr>
                                  <w:rStyle w:val="7"/>
                                  <w:rFonts w:ascii="宋体" w:hAnsi="宋体" w:eastAsia="宋体"/>
                                  <w:sz w:val="28"/>
                                  <w:szCs w:val="28"/>
                                </w:rPr>
                                <w:fldChar w:fldCharType="begin"/>
                              </w:r>
                              <w:r>
                                <w:rPr>
                                  <w:rStyle w:val="7"/>
                                  <w:rFonts w:ascii="宋体" w:hAnsi="宋体" w:eastAsia="宋体"/>
                                  <w:sz w:val="28"/>
                                  <w:szCs w:val="28"/>
                                </w:rPr>
                                <w:instrText xml:space="preserve"> 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ascii="宋体" w:hAnsi="宋体" w:eastAsia="宋体"/>
                                  <w:sz w:val="28"/>
                                  <w:szCs w:val="28"/>
                                </w:rPr>
                                <w:t xml:space="preserve"> —</w:t>
                              </w:r>
                            </w:sdtContent>
                          </w:sdt>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firstLine="0" w:firstLineChars="0"/>
                      <w:rPr>
                        <w:rStyle w:val="7"/>
                        <w:rFonts w:ascii="宋体" w:hAnsi="宋体" w:eastAsia="宋体"/>
                        <w:sz w:val="28"/>
                        <w:szCs w:val="28"/>
                      </w:rPr>
                    </w:pPr>
                    <w:r>
                      <w:rPr>
                        <w:rStyle w:val="7"/>
                        <w:rFonts w:ascii="宋体" w:hAnsi="宋体" w:eastAsia="宋体"/>
                        <w:sz w:val="28"/>
                        <w:szCs w:val="28"/>
                      </w:rPr>
                      <w:t xml:space="preserve">— </w:t>
                    </w:r>
                    <w:sdt>
                      <w:sdtPr>
                        <w:rPr>
                          <w:rStyle w:val="7"/>
                          <w:rFonts w:ascii="宋体" w:hAnsi="宋体" w:eastAsia="宋体"/>
                          <w:sz w:val="28"/>
                          <w:szCs w:val="28"/>
                        </w:rPr>
                        <w:id w:val="-113992536"/>
                      </w:sdtPr>
                      <w:sdtEndPr>
                        <w:rPr>
                          <w:rStyle w:val="7"/>
                          <w:rFonts w:ascii="宋体" w:hAnsi="宋体" w:eastAsia="宋体"/>
                          <w:sz w:val="28"/>
                          <w:szCs w:val="28"/>
                        </w:rPr>
                      </w:sdtEndPr>
                      <w:sdtContent>
                        <w:r>
                          <w:rPr>
                            <w:rStyle w:val="7"/>
                            <w:rFonts w:ascii="宋体" w:hAnsi="宋体" w:eastAsia="宋体"/>
                            <w:sz w:val="28"/>
                            <w:szCs w:val="28"/>
                          </w:rPr>
                          <w:fldChar w:fldCharType="begin"/>
                        </w:r>
                        <w:r>
                          <w:rPr>
                            <w:rStyle w:val="7"/>
                            <w:rFonts w:ascii="宋体" w:hAnsi="宋体" w:eastAsia="宋体"/>
                            <w:sz w:val="28"/>
                            <w:szCs w:val="28"/>
                          </w:rPr>
                          <w:instrText xml:space="preserve"> 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ascii="宋体" w:hAnsi="宋体" w:eastAsia="宋体"/>
                            <w:sz w:val="28"/>
                            <w:szCs w:val="28"/>
                          </w:rPr>
                          <w:t xml:space="preserve"> —</w:t>
                        </w:r>
                      </w:sdtContent>
                    </w:sdt>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NjkwMzAzZGQ3M2QwNTQ5M2I1NzY0MjJlNTQ2ZTYifQ=="/>
  </w:docVars>
  <w:rsids>
    <w:rsidRoot w:val="003F3206"/>
    <w:rsid w:val="0000741C"/>
    <w:rsid w:val="000200FF"/>
    <w:rsid w:val="0002369D"/>
    <w:rsid w:val="0004522A"/>
    <w:rsid w:val="0004582B"/>
    <w:rsid w:val="000548E4"/>
    <w:rsid w:val="00060B69"/>
    <w:rsid w:val="000737D8"/>
    <w:rsid w:val="00084023"/>
    <w:rsid w:val="00087CFB"/>
    <w:rsid w:val="00090EB1"/>
    <w:rsid w:val="00093C71"/>
    <w:rsid w:val="0009423D"/>
    <w:rsid w:val="00096CBA"/>
    <w:rsid w:val="000C2661"/>
    <w:rsid w:val="000D7AFF"/>
    <w:rsid w:val="000E2B95"/>
    <w:rsid w:val="000E7B7D"/>
    <w:rsid w:val="000F67AC"/>
    <w:rsid w:val="001069F8"/>
    <w:rsid w:val="001106E4"/>
    <w:rsid w:val="00147A39"/>
    <w:rsid w:val="00155390"/>
    <w:rsid w:val="00177D66"/>
    <w:rsid w:val="001901AD"/>
    <w:rsid w:val="00192D5E"/>
    <w:rsid w:val="001A0B47"/>
    <w:rsid w:val="001C2A60"/>
    <w:rsid w:val="001E33CB"/>
    <w:rsid w:val="00203A44"/>
    <w:rsid w:val="00223749"/>
    <w:rsid w:val="0022769A"/>
    <w:rsid w:val="00245D2E"/>
    <w:rsid w:val="00252C19"/>
    <w:rsid w:val="00254740"/>
    <w:rsid w:val="002A2931"/>
    <w:rsid w:val="002A5B34"/>
    <w:rsid w:val="002A5E9B"/>
    <w:rsid w:val="002B3B0B"/>
    <w:rsid w:val="002D13F4"/>
    <w:rsid w:val="002E0798"/>
    <w:rsid w:val="002F5957"/>
    <w:rsid w:val="002F63CC"/>
    <w:rsid w:val="00340ECD"/>
    <w:rsid w:val="00347379"/>
    <w:rsid w:val="003476A3"/>
    <w:rsid w:val="00353A46"/>
    <w:rsid w:val="00393635"/>
    <w:rsid w:val="003A5B75"/>
    <w:rsid w:val="003B6B4B"/>
    <w:rsid w:val="003C03AA"/>
    <w:rsid w:val="003C1DEA"/>
    <w:rsid w:val="003C3134"/>
    <w:rsid w:val="003D2887"/>
    <w:rsid w:val="003E6D3A"/>
    <w:rsid w:val="003E6E84"/>
    <w:rsid w:val="003F2DB9"/>
    <w:rsid w:val="003F3206"/>
    <w:rsid w:val="003F4466"/>
    <w:rsid w:val="004045D6"/>
    <w:rsid w:val="00412BEE"/>
    <w:rsid w:val="00431E6E"/>
    <w:rsid w:val="00435EE6"/>
    <w:rsid w:val="00435F9B"/>
    <w:rsid w:val="004379F0"/>
    <w:rsid w:val="00442DC3"/>
    <w:rsid w:val="00465FCC"/>
    <w:rsid w:val="0047339C"/>
    <w:rsid w:val="0047568F"/>
    <w:rsid w:val="004800FA"/>
    <w:rsid w:val="0048151F"/>
    <w:rsid w:val="004978C5"/>
    <w:rsid w:val="004A2660"/>
    <w:rsid w:val="004A2D03"/>
    <w:rsid w:val="004A45C5"/>
    <w:rsid w:val="004E0822"/>
    <w:rsid w:val="004F0A0A"/>
    <w:rsid w:val="004F45AC"/>
    <w:rsid w:val="005010ED"/>
    <w:rsid w:val="00501417"/>
    <w:rsid w:val="00501EFC"/>
    <w:rsid w:val="00505A7C"/>
    <w:rsid w:val="0050678E"/>
    <w:rsid w:val="00521ED5"/>
    <w:rsid w:val="005235D5"/>
    <w:rsid w:val="005245BF"/>
    <w:rsid w:val="00543BA1"/>
    <w:rsid w:val="00547149"/>
    <w:rsid w:val="00585537"/>
    <w:rsid w:val="00585ECA"/>
    <w:rsid w:val="00591557"/>
    <w:rsid w:val="00593C0A"/>
    <w:rsid w:val="005C6B50"/>
    <w:rsid w:val="005D341F"/>
    <w:rsid w:val="005D34AD"/>
    <w:rsid w:val="005F12F2"/>
    <w:rsid w:val="006101A8"/>
    <w:rsid w:val="006204DD"/>
    <w:rsid w:val="006538CF"/>
    <w:rsid w:val="00667334"/>
    <w:rsid w:val="00670D46"/>
    <w:rsid w:val="00676499"/>
    <w:rsid w:val="00686C7A"/>
    <w:rsid w:val="006A1FD7"/>
    <w:rsid w:val="006C4935"/>
    <w:rsid w:val="006D50A6"/>
    <w:rsid w:val="006E5956"/>
    <w:rsid w:val="006E6577"/>
    <w:rsid w:val="006F0F81"/>
    <w:rsid w:val="007128ED"/>
    <w:rsid w:val="007258D9"/>
    <w:rsid w:val="0073351A"/>
    <w:rsid w:val="007530CE"/>
    <w:rsid w:val="00757F66"/>
    <w:rsid w:val="00765DC5"/>
    <w:rsid w:val="00781666"/>
    <w:rsid w:val="00781AFF"/>
    <w:rsid w:val="00792287"/>
    <w:rsid w:val="007C04EC"/>
    <w:rsid w:val="007E41E7"/>
    <w:rsid w:val="007E47E1"/>
    <w:rsid w:val="008002E9"/>
    <w:rsid w:val="008266C4"/>
    <w:rsid w:val="0085395A"/>
    <w:rsid w:val="008550E4"/>
    <w:rsid w:val="00864CA5"/>
    <w:rsid w:val="008761A8"/>
    <w:rsid w:val="008776A8"/>
    <w:rsid w:val="00882C75"/>
    <w:rsid w:val="00896B98"/>
    <w:rsid w:val="008A17F0"/>
    <w:rsid w:val="008A3BBB"/>
    <w:rsid w:val="008B5D9F"/>
    <w:rsid w:val="008D4BF7"/>
    <w:rsid w:val="008F3283"/>
    <w:rsid w:val="00903E80"/>
    <w:rsid w:val="00930FC6"/>
    <w:rsid w:val="00933EF5"/>
    <w:rsid w:val="009353F9"/>
    <w:rsid w:val="00937041"/>
    <w:rsid w:val="009431EE"/>
    <w:rsid w:val="00951C7C"/>
    <w:rsid w:val="009554A8"/>
    <w:rsid w:val="00960336"/>
    <w:rsid w:val="0096376E"/>
    <w:rsid w:val="0096692B"/>
    <w:rsid w:val="00966E91"/>
    <w:rsid w:val="00972889"/>
    <w:rsid w:val="00972CB9"/>
    <w:rsid w:val="00983DA8"/>
    <w:rsid w:val="00996C08"/>
    <w:rsid w:val="009B2F24"/>
    <w:rsid w:val="009B454A"/>
    <w:rsid w:val="009B73BF"/>
    <w:rsid w:val="009C2F94"/>
    <w:rsid w:val="009D6BBE"/>
    <w:rsid w:val="009E66C4"/>
    <w:rsid w:val="009F53B6"/>
    <w:rsid w:val="009F76B2"/>
    <w:rsid w:val="00A12540"/>
    <w:rsid w:val="00A26781"/>
    <w:rsid w:val="00A26962"/>
    <w:rsid w:val="00A41242"/>
    <w:rsid w:val="00A734DC"/>
    <w:rsid w:val="00A80CA6"/>
    <w:rsid w:val="00A83656"/>
    <w:rsid w:val="00A87645"/>
    <w:rsid w:val="00A93ECF"/>
    <w:rsid w:val="00A9527E"/>
    <w:rsid w:val="00AA1462"/>
    <w:rsid w:val="00AA5224"/>
    <w:rsid w:val="00AC79C7"/>
    <w:rsid w:val="00AD5888"/>
    <w:rsid w:val="00AF7775"/>
    <w:rsid w:val="00B00277"/>
    <w:rsid w:val="00B11733"/>
    <w:rsid w:val="00B14A45"/>
    <w:rsid w:val="00B30730"/>
    <w:rsid w:val="00B4214F"/>
    <w:rsid w:val="00B566D1"/>
    <w:rsid w:val="00B60FBF"/>
    <w:rsid w:val="00B611DF"/>
    <w:rsid w:val="00B61DB5"/>
    <w:rsid w:val="00B74506"/>
    <w:rsid w:val="00B76D45"/>
    <w:rsid w:val="00B81B73"/>
    <w:rsid w:val="00BA0A0D"/>
    <w:rsid w:val="00BA4C34"/>
    <w:rsid w:val="00BB6290"/>
    <w:rsid w:val="00BC14F4"/>
    <w:rsid w:val="00BC2065"/>
    <w:rsid w:val="00BE0AAA"/>
    <w:rsid w:val="00BE14D8"/>
    <w:rsid w:val="00BF5AE2"/>
    <w:rsid w:val="00C00E0E"/>
    <w:rsid w:val="00C0411F"/>
    <w:rsid w:val="00C11016"/>
    <w:rsid w:val="00C2395A"/>
    <w:rsid w:val="00C3450E"/>
    <w:rsid w:val="00C42E48"/>
    <w:rsid w:val="00C43630"/>
    <w:rsid w:val="00C43FBC"/>
    <w:rsid w:val="00C45443"/>
    <w:rsid w:val="00C55D0D"/>
    <w:rsid w:val="00C83BBC"/>
    <w:rsid w:val="00C8644B"/>
    <w:rsid w:val="00C870FD"/>
    <w:rsid w:val="00C945EE"/>
    <w:rsid w:val="00CB2770"/>
    <w:rsid w:val="00CB5CA4"/>
    <w:rsid w:val="00CC39F6"/>
    <w:rsid w:val="00CC4B40"/>
    <w:rsid w:val="00CE566A"/>
    <w:rsid w:val="00CE5E7E"/>
    <w:rsid w:val="00CF6BAB"/>
    <w:rsid w:val="00D00064"/>
    <w:rsid w:val="00D06DDA"/>
    <w:rsid w:val="00D07A2C"/>
    <w:rsid w:val="00D13952"/>
    <w:rsid w:val="00D32F45"/>
    <w:rsid w:val="00D42B8D"/>
    <w:rsid w:val="00D44140"/>
    <w:rsid w:val="00D55D9A"/>
    <w:rsid w:val="00D61DD7"/>
    <w:rsid w:val="00D67B6D"/>
    <w:rsid w:val="00D71CD6"/>
    <w:rsid w:val="00D741DF"/>
    <w:rsid w:val="00D836AC"/>
    <w:rsid w:val="00D866BA"/>
    <w:rsid w:val="00D97E41"/>
    <w:rsid w:val="00DA1750"/>
    <w:rsid w:val="00DB54FF"/>
    <w:rsid w:val="00DC4C29"/>
    <w:rsid w:val="00DD2A66"/>
    <w:rsid w:val="00DD314B"/>
    <w:rsid w:val="00DF0D7F"/>
    <w:rsid w:val="00E05297"/>
    <w:rsid w:val="00E23B85"/>
    <w:rsid w:val="00E40549"/>
    <w:rsid w:val="00E55B90"/>
    <w:rsid w:val="00E56B60"/>
    <w:rsid w:val="00E60BF4"/>
    <w:rsid w:val="00E61687"/>
    <w:rsid w:val="00E668AE"/>
    <w:rsid w:val="00E8017B"/>
    <w:rsid w:val="00E8597F"/>
    <w:rsid w:val="00E85AE6"/>
    <w:rsid w:val="00EA33CC"/>
    <w:rsid w:val="00EB1461"/>
    <w:rsid w:val="00EB2CFA"/>
    <w:rsid w:val="00EB7D46"/>
    <w:rsid w:val="00EC402E"/>
    <w:rsid w:val="00ED159E"/>
    <w:rsid w:val="00ED2A52"/>
    <w:rsid w:val="00EE43F6"/>
    <w:rsid w:val="00EF1422"/>
    <w:rsid w:val="00EF2E66"/>
    <w:rsid w:val="00EF68DC"/>
    <w:rsid w:val="00EF6ACD"/>
    <w:rsid w:val="00EF6F2C"/>
    <w:rsid w:val="00F15E13"/>
    <w:rsid w:val="00F3081A"/>
    <w:rsid w:val="00F3239E"/>
    <w:rsid w:val="00F46965"/>
    <w:rsid w:val="00F5757E"/>
    <w:rsid w:val="00F7100A"/>
    <w:rsid w:val="00F809EA"/>
    <w:rsid w:val="00F8397F"/>
    <w:rsid w:val="00F934DF"/>
    <w:rsid w:val="00F97DA5"/>
    <w:rsid w:val="00FA225C"/>
    <w:rsid w:val="00FB6E1F"/>
    <w:rsid w:val="00FC746A"/>
    <w:rsid w:val="00FD45E0"/>
    <w:rsid w:val="00FD5780"/>
    <w:rsid w:val="00FE4EDC"/>
    <w:rsid w:val="00FF00ED"/>
    <w:rsid w:val="5352668D"/>
    <w:rsid w:val="673902DC"/>
    <w:rsid w:val="6A1C7F46"/>
    <w:rsid w:val="736D4C2E"/>
    <w:rsid w:val="7FF7D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imes New Roman" w:hAnsi="Times New Roman" w:eastAsia="仿宋_GB2312" w:cs="Times New Roman (正文 CS 字体)"/>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afterAutospacing="0" w:line="480" w:lineRule="auto"/>
      <w:ind w:left="20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paragraph" w:customStyle="1" w:styleId="8">
    <w:name w:val="List Paragraph"/>
    <w:basedOn w:val="1"/>
    <w:qFormat/>
    <w:uiPriority w:val="34"/>
    <w:pPr>
      <w:ind w:firstLine="420"/>
    </w:p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9957</Words>
  <Characters>10086</Characters>
  <Lines>72</Lines>
  <Paragraphs>20</Paragraphs>
  <TotalTime>21</TotalTime>
  <ScaleCrop>false</ScaleCrop>
  <LinksUpToDate>false</LinksUpToDate>
  <CharactersWithSpaces>10101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2022-06-15T20:05:00Z</dcterms:created>
  <dc:creator>垣 廖</dc:creator>
  <cp:lastModifiedBy>馮  逾</cp:lastModifiedBy>
  <cp:lastPrinted>2022-06-16T21:18:00Z</cp:lastPrinted>
  <dcterms:modified xsi:type="dcterms:W3CDTF">2022-07-16T14:26:51Z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71B7B168EDFC46E29CEAF9B9B2F884F7</vt:lpwstr>
  </property>
</Properties>
</file>